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108</w:t>
      </w:r>
      <w:r>
        <w:rPr>
          <w:rFonts w:ascii="Arial" w:hAnsi="Arial" w:eastAsia="MS Mincho"/>
          <w:b/>
          <w:color w:val="auto"/>
          <w:sz w:val="24"/>
        </w:rPr>
        <w:tab/>
      </w:r>
      <w:r>
        <w:rPr>
          <w:rFonts w:ascii="Arial" w:hAnsi="Arial"/>
          <w:b/>
          <w:color w:val="auto"/>
          <w:sz w:val="24"/>
          <w:lang w:eastAsia="zh-CN"/>
        </w:rPr>
        <w:t>R4-</w:t>
      </w:r>
      <w:r>
        <w:rPr>
          <w:rFonts w:hint="eastAsia" w:ascii="Arial" w:hAnsi="Arial"/>
          <w:b/>
          <w:color w:val="auto"/>
          <w:sz w:val="24"/>
          <w:lang w:val="en-US" w:eastAsia="zh-CN"/>
        </w:rPr>
        <w:t>2313111</w:t>
      </w:r>
      <w:bookmarkStart w:id="0" w:name="_GoBack"/>
      <w:bookmarkEnd w:id="0"/>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b/>
          <w:color w:val="auto"/>
          <w:sz w:val="24"/>
          <w:lang w:val="en-US" w:eastAsia="zh-CN"/>
        </w:rPr>
        <w:t>Toulouse France</w:t>
      </w:r>
      <w:r>
        <w:rPr>
          <w:rFonts w:ascii="Arial" w:hAnsi="Arial" w:eastAsia="宋体"/>
          <w:b/>
          <w:color w:val="auto"/>
          <w:sz w:val="24"/>
          <w:lang w:eastAsia="zh-CN"/>
        </w:rPr>
        <w:t xml:space="preserve">, </w:t>
      </w:r>
      <w:r>
        <w:rPr>
          <w:rFonts w:hint="eastAsia" w:ascii="Arial" w:hAnsi="Arial" w:eastAsia="宋体"/>
          <w:b/>
          <w:color w:val="auto"/>
          <w:sz w:val="24"/>
          <w:lang w:eastAsia="zh-CN"/>
        </w:rPr>
        <w:t>August 21</w:t>
      </w:r>
      <w:r>
        <w:rPr>
          <w:rFonts w:hint="eastAsia" w:ascii="Arial" w:hAnsi="Arial" w:eastAsia="宋体"/>
          <w:b/>
          <w:color w:val="auto"/>
          <w:sz w:val="24"/>
          <w:lang w:val="en-US" w:eastAsia="zh-CN"/>
        </w:rPr>
        <w:t>-</w:t>
      </w:r>
      <w:r>
        <w:rPr>
          <w:rFonts w:hint="eastAsia" w:ascii="Arial" w:hAnsi="Arial" w:eastAsia="宋体"/>
          <w:b/>
          <w:color w:val="auto"/>
          <w:sz w:val="24"/>
          <w:lang w:eastAsia="zh-CN"/>
        </w:rPr>
        <w:t>25</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6"/>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6"/>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inter-RAT measurement without gaps</w:t>
      </w:r>
    </w:p>
    <w:p>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8.9.3.2</w:t>
      </w:r>
    </w:p>
    <w:p>
      <w:pPr>
        <w:pStyle w:val="16"/>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10"/>
        <w:bidi w:val="0"/>
        <w:rPr>
          <w:rFonts w:hint="default"/>
          <w:lang w:val="en-US" w:eastAsia="zh-CN"/>
        </w:rPr>
      </w:pPr>
      <w:r>
        <w:rPr>
          <w:rFonts w:hint="default"/>
          <w:lang w:val="en-US" w:eastAsia="zh-CN"/>
        </w:rPr>
        <w:t xml:space="preserve">In </w:t>
      </w:r>
      <w:r>
        <w:rPr>
          <w:rFonts w:hint="eastAsia"/>
          <w:lang w:val="en-US" w:eastAsia="zh-CN"/>
        </w:rPr>
        <w:t>the last meeting, some meaningful agreements on the inter-RAT measurement without gaps have been achieved [1]. However, there are still some issues left to be discussed. In this contribution, we</w:t>
      </w:r>
      <w:r>
        <w:rPr>
          <w:rFonts w:hint="default"/>
          <w:lang w:val="en-US" w:eastAsia="zh-CN"/>
        </w:rPr>
        <w:t>’</w:t>
      </w:r>
      <w:r>
        <w:rPr>
          <w:rFonts w:hint="eastAsia"/>
          <w:lang w:val="en-US" w:eastAsia="zh-CN"/>
        </w:rPr>
        <w:t>d like to share our views on the inter-RAT measurement gaps in the aspects of UE capabilities, search limitation and measurement reporting period requirements.</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spacing w:after="120"/>
        <w:rPr>
          <w:iCs/>
          <w:color w:val="auto"/>
        </w:rPr>
      </w:pPr>
      <w:r>
        <w:rPr>
          <w:iCs/>
          <w:color w:val="auto"/>
        </w:rPr>
        <w:t xml:space="preserve">Up to </w:t>
      </w:r>
      <w:r>
        <w:rPr>
          <w:rFonts w:hint="eastAsia" w:eastAsia="宋体"/>
          <w:iCs/>
          <w:color w:val="auto"/>
          <w:lang w:val="en-US" w:eastAsia="zh-CN"/>
        </w:rPr>
        <w:t>now</w:t>
      </w:r>
      <w:r>
        <w:rPr>
          <w:iCs/>
          <w:color w:val="auto"/>
        </w:rPr>
        <w:t xml:space="preserve">, all agreed using scenarios for inter-RAT NR/LTE measurements without gap </w:t>
      </w:r>
      <w:r>
        <w:rPr>
          <w:rFonts w:hint="eastAsia" w:eastAsia="宋体"/>
          <w:iCs/>
          <w:color w:val="auto"/>
          <w:lang w:val="en-US" w:eastAsia="zh-CN"/>
        </w:rPr>
        <w:t>is</w:t>
      </w:r>
      <w:r>
        <w:rPr>
          <w:iCs/>
          <w:color w:val="auto"/>
        </w:rPr>
        <w:t xml:space="preserve"> summarized as</w:t>
      </w:r>
      <w:r>
        <w:rPr>
          <w:rFonts w:hint="eastAsia" w:eastAsia="宋体"/>
          <w:iCs/>
          <w:color w:val="auto"/>
          <w:lang w:val="en-US" w:eastAsia="zh-CN"/>
        </w:rPr>
        <w:t xml:space="preserve"> follows</w:t>
      </w:r>
      <w:r>
        <w:rPr>
          <w:iCs/>
          <w:color w:val="auto"/>
        </w:rPr>
        <w:t>:</w:t>
      </w:r>
    </w:p>
    <w:p>
      <w:pPr>
        <w:pStyle w:val="29"/>
        <w:keepNext w:val="0"/>
        <w:keepLines w:val="0"/>
        <w:pageBreakBefore w:val="0"/>
        <w:widowControl w:val="0"/>
        <w:numPr>
          <w:ilvl w:val="0"/>
          <w:numId w:val="4"/>
        </w:numPr>
        <w:kinsoku/>
        <w:wordWrap/>
        <w:overflowPunct w:val="0"/>
        <w:topLinePunct w:val="0"/>
        <w:autoSpaceDE w:val="0"/>
        <w:autoSpaceDN w:val="0"/>
        <w:bidi w:val="0"/>
        <w:adjustRightInd w:val="0"/>
        <w:snapToGrid/>
        <w:spacing w:after="160" w:line="240" w:lineRule="auto"/>
        <w:ind w:hanging="363" w:firstLineChars="0"/>
        <w:textAlignment w:val="baseline"/>
        <w:rPr>
          <w:rFonts w:hint="default" w:ascii="Times New Roman" w:hAnsi="Times New Roman" w:cs="Times New Roman"/>
          <w:color w:val="auto"/>
          <w:sz w:val="20"/>
          <w:szCs w:val="20"/>
        </w:rPr>
      </w:pPr>
      <w:r>
        <w:rPr>
          <w:rFonts w:hint="default" w:ascii="Times New Roman" w:hAnsi="Times New Roman" w:cs="Times New Roman"/>
          <w:color w:val="auto"/>
          <w:sz w:val="20"/>
          <w:szCs w:val="20"/>
        </w:rPr>
        <w:t>the inter-RAT NR measurements without gap in Rel</w:t>
      </w:r>
      <w:r>
        <w:rPr>
          <w:rFonts w:hint="eastAsia" w:ascii="Times New Roman" w:hAnsi="Times New Roman" w:cs="Times New Roman"/>
          <w:color w:val="auto"/>
          <w:sz w:val="20"/>
          <w:szCs w:val="20"/>
          <w:lang w:val="en-US" w:eastAsia="zh-CN"/>
        </w:rPr>
        <w:t>-</w:t>
      </w:r>
      <w:r>
        <w:rPr>
          <w:rFonts w:hint="default" w:ascii="Times New Roman" w:hAnsi="Times New Roman" w:cs="Times New Roman"/>
          <w:color w:val="auto"/>
          <w:sz w:val="20"/>
          <w:szCs w:val="20"/>
        </w:rPr>
        <w:t>18 includes the two scenarios below.</w:t>
      </w:r>
      <w:r>
        <w:rPr>
          <w:rFonts w:hint="default" w:ascii="Times New Roman" w:hAnsi="Times New Roman" w:cs="Times New Roman"/>
          <w:color w:val="auto"/>
          <w:sz w:val="20"/>
          <w:szCs w:val="20"/>
          <w:lang w:val="en-US" w:eastAsia="zh-CN"/>
        </w:rPr>
        <w:t xml:space="preserve"> </w:t>
      </w:r>
    </w:p>
    <w:p>
      <w:pPr>
        <w:pStyle w:val="29"/>
        <w:keepNext w:val="0"/>
        <w:keepLines w:val="0"/>
        <w:pageBreakBefore w:val="0"/>
        <w:widowControl w:val="0"/>
        <w:numPr>
          <w:ilvl w:val="1"/>
          <w:numId w:val="5"/>
        </w:numPr>
        <w:kinsoku/>
        <w:wordWrap/>
        <w:overflowPunct w:val="0"/>
        <w:topLinePunct w:val="0"/>
        <w:autoSpaceDE w:val="0"/>
        <w:autoSpaceDN w:val="0"/>
        <w:bidi w:val="0"/>
        <w:adjustRightInd w:val="0"/>
        <w:snapToGrid/>
        <w:spacing w:after="160" w:line="240" w:lineRule="auto"/>
        <w:ind w:hanging="363" w:firstLineChars="0"/>
        <w:textAlignment w:val="baseline"/>
        <w:rPr>
          <w:rFonts w:hint="default" w:ascii="Times New Roman" w:hAnsi="Times New Roman" w:cs="Times New Roman"/>
          <w:color w:val="auto"/>
          <w:sz w:val="20"/>
          <w:szCs w:val="20"/>
        </w:rPr>
      </w:pPr>
      <w:r>
        <w:rPr>
          <w:rFonts w:hint="default" w:ascii="Times New Roman" w:hAnsi="Times New Roman" w:cs="Times New Roman"/>
          <w:b/>
          <w:bCs/>
          <w:color w:val="auto"/>
          <w:sz w:val="20"/>
          <w:szCs w:val="20"/>
        </w:rPr>
        <w:t>Case a-1</w:t>
      </w:r>
      <w:r>
        <w:rPr>
          <w:rFonts w:hint="default" w:ascii="Times New Roman" w:hAnsi="Times New Roman" w:cs="Times New Roman"/>
          <w:color w:val="auto"/>
          <w:sz w:val="20"/>
          <w:szCs w:val="20"/>
        </w:rPr>
        <w:t xml:space="preserve">: UE performing the measurements without gap in NR carriers as there is vacant RF chains for UE measurements </w:t>
      </w:r>
    </w:p>
    <w:p>
      <w:pPr>
        <w:pStyle w:val="29"/>
        <w:keepNext w:val="0"/>
        <w:keepLines w:val="0"/>
        <w:pageBreakBefore w:val="0"/>
        <w:widowControl w:val="0"/>
        <w:numPr>
          <w:ilvl w:val="0"/>
          <w:numId w:val="4"/>
        </w:numPr>
        <w:kinsoku/>
        <w:wordWrap/>
        <w:overflowPunct w:val="0"/>
        <w:topLinePunct w:val="0"/>
        <w:autoSpaceDE w:val="0"/>
        <w:autoSpaceDN w:val="0"/>
        <w:bidi w:val="0"/>
        <w:adjustRightInd w:val="0"/>
        <w:snapToGrid/>
        <w:spacing w:after="160" w:line="240" w:lineRule="auto"/>
        <w:ind w:hanging="363" w:firstLineChars="0"/>
        <w:textAlignment w:val="baseline"/>
        <w:rPr>
          <w:rFonts w:hint="default" w:ascii="Times New Roman" w:hAnsi="Times New Roman" w:cs="Times New Roman"/>
          <w:color w:val="auto"/>
          <w:sz w:val="20"/>
          <w:szCs w:val="20"/>
        </w:rPr>
      </w:pPr>
      <w:r>
        <w:rPr>
          <w:rFonts w:hint="default" w:ascii="Times New Roman" w:hAnsi="Times New Roman" w:cs="Times New Roman"/>
          <w:color w:val="auto"/>
          <w:sz w:val="20"/>
          <w:szCs w:val="20"/>
        </w:rPr>
        <w:t>the inter-RAT LTE measurements without gap in Rel</w:t>
      </w:r>
      <w:r>
        <w:rPr>
          <w:rFonts w:hint="eastAsia" w:ascii="Times New Roman" w:hAnsi="Times New Roman" w:cs="Times New Roman"/>
          <w:color w:val="auto"/>
          <w:sz w:val="20"/>
          <w:szCs w:val="20"/>
          <w:lang w:val="en-US" w:eastAsia="zh-CN"/>
        </w:rPr>
        <w:t>-</w:t>
      </w:r>
      <w:r>
        <w:rPr>
          <w:rFonts w:hint="default" w:ascii="Times New Roman" w:hAnsi="Times New Roman" w:cs="Times New Roman"/>
          <w:color w:val="auto"/>
          <w:sz w:val="20"/>
          <w:szCs w:val="20"/>
        </w:rPr>
        <w:t>18 includes the two scenarios below.</w:t>
      </w:r>
      <w:r>
        <w:rPr>
          <w:rFonts w:hint="default" w:ascii="Times New Roman" w:hAnsi="Times New Roman" w:cs="Times New Roman"/>
          <w:color w:val="auto"/>
          <w:sz w:val="20"/>
          <w:szCs w:val="20"/>
          <w:lang w:val="en-US" w:eastAsia="zh-CN"/>
        </w:rPr>
        <w:t xml:space="preserve"> </w:t>
      </w:r>
    </w:p>
    <w:p>
      <w:pPr>
        <w:pStyle w:val="29"/>
        <w:keepNext w:val="0"/>
        <w:keepLines w:val="0"/>
        <w:pageBreakBefore w:val="0"/>
        <w:widowControl w:val="0"/>
        <w:numPr>
          <w:ilvl w:val="1"/>
          <w:numId w:val="5"/>
        </w:numPr>
        <w:kinsoku/>
        <w:wordWrap/>
        <w:overflowPunct w:val="0"/>
        <w:topLinePunct w:val="0"/>
        <w:autoSpaceDE w:val="0"/>
        <w:autoSpaceDN w:val="0"/>
        <w:bidi w:val="0"/>
        <w:adjustRightInd w:val="0"/>
        <w:snapToGrid/>
        <w:spacing w:after="160" w:line="240" w:lineRule="auto"/>
        <w:ind w:hanging="363" w:firstLineChars="0"/>
        <w:textAlignment w:val="baseline"/>
        <w:rPr>
          <w:rFonts w:hint="default" w:ascii="Times New Roman" w:hAnsi="Times New Roman" w:cs="Times New Roman"/>
          <w:color w:val="auto"/>
          <w:sz w:val="20"/>
          <w:szCs w:val="20"/>
        </w:rPr>
      </w:pPr>
      <w:r>
        <w:rPr>
          <w:rFonts w:hint="default" w:ascii="Times New Roman" w:hAnsi="Times New Roman" w:cs="Times New Roman"/>
          <w:b/>
          <w:bCs/>
          <w:color w:val="auto"/>
          <w:sz w:val="20"/>
          <w:szCs w:val="20"/>
        </w:rPr>
        <w:t>Case b-1</w:t>
      </w:r>
      <w:r>
        <w:rPr>
          <w:rFonts w:hint="default" w:ascii="Times New Roman" w:hAnsi="Times New Roman" w:cs="Times New Roman"/>
          <w:color w:val="auto"/>
          <w:sz w:val="20"/>
          <w:szCs w:val="20"/>
        </w:rPr>
        <w:t xml:space="preserve">: UE performing the measurements without gap in LTE carriers as there is vacant RF chains for UE measurements </w:t>
      </w:r>
    </w:p>
    <w:p>
      <w:pPr>
        <w:pStyle w:val="29"/>
        <w:keepNext w:val="0"/>
        <w:keepLines w:val="0"/>
        <w:pageBreakBefore w:val="0"/>
        <w:widowControl w:val="0"/>
        <w:numPr>
          <w:ilvl w:val="1"/>
          <w:numId w:val="5"/>
        </w:numPr>
        <w:kinsoku/>
        <w:wordWrap/>
        <w:overflowPunct w:val="0"/>
        <w:topLinePunct w:val="0"/>
        <w:autoSpaceDE w:val="0"/>
        <w:autoSpaceDN w:val="0"/>
        <w:bidi w:val="0"/>
        <w:adjustRightInd w:val="0"/>
        <w:snapToGrid/>
        <w:spacing w:after="120" w:line="240" w:lineRule="auto"/>
        <w:ind w:hanging="363" w:firstLineChars="0"/>
        <w:textAlignment w:val="baseline"/>
        <w:rPr>
          <w:rFonts w:hint="default" w:ascii="Times New Roman" w:hAnsi="Times New Roman" w:cs="Times New Roman"/>
          <w:iCs/>
          <w:color w:val="auto"/>
          <w:sz w:val="20"/>
          <w:szCs w:val="20"/>
        </w:rPr>
      </w:pPr>
      <w:r>
        <w:rPr>
          <w:rFonts w:hint="default" w:ascii="Times New Roman" w:hAnsi="Times New Roman" w:cs="Times New Roman"/>
          <w:b/>
          <w:bCs/>
          <w:color w:val="auto"/>
          <w:sz w:val="20"/>
          <w:szCs w:val="20"/>
        </w:rPr>
        <w:t>Case b-2</w:t>
      </w:r>
      <w:r>
        <w:rPr>
          <w:rFonts w:hint="default" w:ascii="Times New Roman" w:hAnsi="Times New Roman" w:cs="Times New Roman"/>
          <w:color w:val="auto"/>
          <w:sz w:val="20"/>
          <w:szCs w:val="20"/>
        </w:rPr>
        <w:t xml:space="preserve">: LTE CRS are fully contained within UE’s active BWP </w:t>
      </w:r>
    </w:p>
    <w:p>
      <w:pPr>
        <w:rPr>
          <w:color w:val="auto"/>
          <w:lang w:eastAsia="zh-CN"/>
        </w:rPr>
      </w:pPr>
    </w:p>
    <w:p>
      <w:pPr>
        <w:keepNext w:val="0"/>
        <w:keepLines w:val="0"/>
        <w:pageBreakBefore w:val="0"/>
        <w:widowControl/>
        <w:kinsoku/>
        <w:wordWrap/>
        <w:overflowPunct/>
        <w:topLinePunct w:val="0"/>
        <w:autoSpaceDE/>
        <w:autoSpaceDN/>
        <w:bidi w:val="0"/>
        <w:adjustRightInd/>
        <w:snapToGrid/>
        <w:textAlignment w:val="auto"/>
        <w:outlineLvl w:val="1"/>
        <w:rPr>
          <w:b/>
          <w:bCs/>
          <w:color w:val="auto"/>
          <w:sz w:val="24"/>
          <w:szCs w:val="16"/>
        </w:rPr>
      </w:pPr>
      <w:r>
        <w:rPr>
          <w:rFonts w:hint="eastAsia" w:eastAsia="宋体"/>
          <w:b/>
          <w:bCs/>
          <w:color w:val="auto"/>
          <w:sz w:val="24"/>
          <w:szCs w:val="16"/>
          <w:lang w:val="en-US" w:eastAsia="zh-CN"/>
        </w:rPr>
        <w:t xml:space="preserve">2.1 </w:t>
      </w:r>
      <w:r>
        <w:rPr>
          <w:b/>
          <w:bCs/>
          <w:color w:val="auto"/>
          <w:sz w:val="24"/>
          <w:szCs w:val="16"/>
        </w:rPr>
        <w:t>UE capabilities</w:t>
      </w:r>
    </w:p>
    <w:p>
      <w:pPr>
        <w:rPr>
          <w:rFonts w:hint="eastAsia" w:ascii="Times New Roman" w:hAnsi="Times New Roman" w:eastAsia="宋体" w:cs="Times New Roman"/>
          <w:color w:val="auto"/>
          <w:sz w:val="20"/>
          <w:szCs w:val="20"/>
          <w:lang w:val="en-US" w:eastAsia="zh-CN" w:bidi="ar-SA"/>
        </w:rPr>
      </w:pPr>
    </w:p>
    <w:p>
      <w:pPr>
        <w:pStyle w:val="10"/>
        <w:bidi w:val="0"/>
        <w:rPr>
          <w:rFonts w:hint="default"/>
          <w:color w:val="auto"/>
          <w:lang w:val="en-US" w:eastAsia="zh-CN"/>
        </w:rPr>
      </w:pPr>
      <w:r>
        <w:rPr>
          <w:rFonts w:hint="eastAsia"/>
          <w:color w:val="auto"/>
          <w:lang w:val="en-US" w:eastAsia="zh-CN"/>
        </w:rPr>
        <w:t xml:space="preserve">In the last meeting, we have agreed to introduce a new per-UE capability to support inter-RAT measurement without gap in case b-2, and only </w:t>
      </w:r>
      <w:r>
        <w:rPr>
          <w:rFonts w:hint="default"/>
          <w:color w:val="auto"/>
          <w:lang w:val="en-US" w:eastAsia="zh-CN"/>
        </w:rPr>
        <w:t>‘</w:t>
      </w:r>
      <w:r>
        <w:rPr>
          <w:rFonts w:hint="eastAsia"/>
          <w:color w:val="auto"/>
          <w:lang w:val="en-US" w:eastAsia="zh-CN"/>
        </w:rPr>
        <w:t>gap</w:t>
      </w:r>
      <w:r>
        <w:rPr>
          <w:rFonts w:hint="default"/>
          <w:color w:val="auto"/>
          <w:lang w:val="en-US" w:eastAsia="zh-CN"/>
        </w:rPr>
        <w:t>’</w:t>
      </w:r>
      <w:r>
        <w:rPr>
          <w:rFonts w:hint="eastAsia"/>
          <w:color w:val="auto"/>
          <w:lang w:val="en-US" w:eastAsia="zh-CN"/>
        </w:rPr>
        <w:t xml:space="preserve"> and </w:t>
      </w:r>
      <w:r>
        <w:rPr>
          <w:rFonts w:hint="default"/>
          <w:color w:val="auto"/>
          <w:lang w:val="en-US" w:eastAsia="zh-CN"/>
        </w:rPr>
        <w:t>‘</w:t>
      </w:r>
      <w:r>
        <w:rPr>
          <w:rFonts w:hint="eastAsia"/>
          <w:color w:val="auto"/>
          <w:lang w:val="en-US" w:eastAsia="zh-CN"/>
        </w:rPr>
        <w:t>no gap without interruption</w:t>
      </w:r>
      <w:r>
        <w:rPr>
          <w:rFonts w:hint="default"/>
          <w:color w:val="auto"/>
          <w:lang w:val="en-US" w:eastAsia="zh-CN"/>
        </w:rPr>
        <w:t>’</w:t>
      </w:r>
      <w:r>
        <w:rPr>
          <w:rFonts w:hint="eastAsia"/>
          <w:color w:val="auto"/>
          <w:lang w:val="en-US" w:eastAsia="zh-CN"/>
        </w:rPr>
        <w:t xml:space="preserve"> can be considered. However, there are still two FFS left. In this subject, we would like to discuss these FFS, as follows:</w:t>
      </w:r>
    </w:p>
    <w:p>
      <w:pPr>
        <w:pStyle w:val="10"/>
        <w:numPr>
          <w:ilvl w:val="0"/>
          <w:numId w:val="6"/>
        </w:numPr>
        <w:tabs>
          <w:tab w:val="left" w:pos="226"/>
          <w:tab w:val="left" w:pos="284"/>
          <w:tab w:val="left" w:pos="5103"/>
        </w:tabs>
        <w:snapToGrid w:val="0"/>
        <w:spacing w:before="156" w:beforeLines="50" w:after="120"/>
        <w:ind w:left="420" w:leftChars="0" w:hanging="420" w:firstLineChars="0"/>
        <w:jc w:val="both"/>
        <w:rPr>
          <w:rFonts w:hint="eastAsia" w:eastAsia="宋体" w:cs="Times New Roman"/>
          <w:b/>
          <w:bCs/>
          <w:i w:val="0"/>
          <w:iCs/>
          <w:color w:val="auto"/>
          <w:szCs w:val="20"/>
          <w:lang w:val="en-US" w:eastAsia="zh-CN"/>
        </w:rPr>
      </w:pPr>
      <w:r>
        <w:rPr>
          <w:bCs/>
          <w:color w:val="auto"/>
        </w:rPr>
        <w:t xml:space="preserve">FFS on power imbalance side conditions for </w:t>
      </w:r>
      <w:r>
        <w:rPr>
          <w:rFonts w:hint="eastAsia" w:eastAsia="宋体"/>
          <w:color w:val="auto"/>
          <w:lang w:val="en-US" w:eastAsia="zh-CN"/>
        </w:rPr>
        <w:t>c</w:t>
      </w:r>
      <w:r>
        <w:rPr>
          <w:color w:val="auto"/>
        </w:rPr>
        <w:t>ase b-2 measurements</w:t>
      </w:r>
      <w:r>
        <w:rPr>
          <w:rFonts w:hint="eastAsia" w:eastAsia="宋体"/>
          <w:color w:val="auto"/>
          <w:lang w:val="en-US" w:eastAsia="zh-CN"/>
        </w:rPr>
        <w:t xml:space="preserve"> </w:t>
      </w:r>
    </w:p>
    <w:p>
      <w:pPr>
        <w:pStyle w:val="10"/>
        <w:numPr>
          <w:ilvl w:val="0"/>
          <w:numId w:val="6"/>
        </w:numPr>
        <w:tabs>
          <w:tab w:val="left" w:pos="226"/>
          <w:tab w:val="left" w:pos="284"/>
          <w:tab w:val="left" w:pos="5103"/>
        </w:tabs>
        <w:snapToGrid w:val="0"/>
        <w:spacing w:before="156" w:beforeLines="50" w:after="120"/>
        <w:ind w:left="420" w:leftChars="0" w:hanging="420" w:firstLineChars="0"/>
        <w:jc w:val="both"/>
        <w:rPr>
          <w:bCs/>
          <w:color w:val="auto"/>
        </w:rPr>
      </w:pPr>
      <w:r>
        <w:rPr>
          <w:bCs/>
          <w:color w:val="auto"/>
        </w:rPr>
        <w:t>FFS whether scheduling restriction shall be defined for inter-RAT LTE measurement case b-2 with mixed numerology.</w:t>
      </w:r>
    </w:p>
    <w:p>
      <w:pPr>
        <w:pStyle w:val="10"/>
        <w:bidi w:val="0"/>
        <w:rPr>
          <w:rFonts w:hint="eastAsia"/>
          <w:color w:val="auto"/>
          <w:lang w:val="en-US" w:eastAsia="zh-CN"/>
        </w:rPr>
      </w:pPr>
      <w:r>
        <w:rPr>
          <w:rFonts w:hint="eastAsia"/>
          <w:color w:val="auto"/>
          <w:lang w:val="en-US" w:eastAsia="zh-CN"/>
        </w:rPr>
        <w:t>For the first bullet, we think power imbalance issue only leads to measurement delay issue rather than interruption issue. For the second bullet, the following agreement has been agreed in the RAN4 #106bis meeting:</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10"/>
              <w:bidi w:val="0"/>
              <w:rPr>
                <w:rFonts w:hint="default"/>
                <w:color w:val="auto"/>
                <w:vertAlign w:val="baseline"/>
                <w:lang w:val="en-US" w:eastAsia="zh-CN"/>
              </w:rPr>
            </w:pPr>
            <w:r>
              <w:rPr>
                <w:rFonts w:hint="default"/>
                <w:color w:val="auto"/>
                <w:vertAlign w:val="baseline"/>
                <w:lang w:val="en-US" w:eastAsia="zh-CN"/>
              </w:rPr>
              <w:t xml:space="preserve">Issue 2-2-3: Additional capability to support inter-RAT measurement without gap with mixed numerology </w:t>
            </w:r>
          </w:p>
          <w:p>
            <w:pPr>
              <w:pStyle w:val="10"/>
              <w:bidi w:val="0"/>
              <w:rPr>
                <w:rFonts w:hint="default"/>
                <w:color w:val="auto"/>
                <w:vertAlign w:val="baseline"/>
                <w:lang w:val="en-US" w:eastAsia="zh-CN"/>
              </w:rPr>
            </w:pPr>
            <w:r>
              <w:rPr>
                <w:rFonts w:hint="default"/>
                <w:color w:val="auto"/>
                <w:vertAlign w:val="baseline"/>
                <w:lang w:val="en-US" w:eastAsia="zh-CN"/>
              </w:rPr>
              <w:t>No additional UE capability is defined for inter-RAT measurement with mixed numerology; instead it can be considered for scheduling restriction</w:t>
            </w:r>
          </w:p>
        </w:tc>
      </w:tr>
    </w:tbl>
    <w:p>
      <w:pPr>
        <w:pStyle w:val="10"/>
        <w:bidi w:val="0"/>
        <w:rPr>
          <w:rFonts w:hint="eastAsia"/>
          <w:color w:val="auto"/>
          <w:lang w:val="en-US" w:eastAsia="zh-CN"/>
        </w:rPr>
      </w:pPr>
      <w:r>
        <w:rPr>
          <w:rFonts w:hint="eastAsia"/>
          <w:color w:val="auto"/>
          <w:lang w:val="en-US" w:eastAsia="zh-CN"/>
        </w:rPr>
        <w:t xml:space="preserve">Thus, scheduling restriction should be defined for inter-RAT LTE measurement case b-2 with mixed numerology. </w:t>
      </w:r>
    </w:p>
    <w:p>
      <w:pPr>
        <w:pStyle w:val="10"/>
        <w:bidi w:val="0"/>
        <w:rPr>
          <w:rFonts w:hint="eastAsia"/>
          <w:b/>
          <w:bCs/>
          <w:color w:val="auto"/>
          <w:lang w:val="en-US" w:eastAsia="zh-CN"/>
        </w:rPr>
      </w:pPr>
      <w:r>
        <w:rPr>
          <w:rFonts w:hint="eastAsia"/>
          <w:b/>
          <w:bCs/>
          <w:color w:val="auto"/>
          <w:lang w:val="en-US" w:eastAsia="zh-CN"/>
        </w:rPr>
        <w:t>Proposal 1: Power imbalance issue only causes measurement delay issue rather than interruption.</w:t>
      </w:r>
    </w:p>
    <w:p>
      <w:pPr>
        <w:pStyle w:val="10"/>
        <w:bidi w:val="0"/>
        <w:rPr>
          <w:rFonts w:hint="eastAsia"/>
          <w:b/>
          <w:bCs/>
          <w:color w:val="auto"/>
          <w:lang w:val="en-US" w:eastAsia="zh-CN"/>
        </w:rPr>
      </w:pPr>
      <w:r>
        <w:rPr>
          <w:rFonts w:hint="eastAsia"/>
          <w:b/>
          <w:bCs/>
          <w:color w:val="auto"/>
          <w:lang w:val="en-US" w:eastAsia="zh-CN"/>
        </w:rPr>
        <w:t>Proposal 2: The scheduling restriction shall be defined for inter-RAT LTE measurement case b-2 with mixed numerology.</w:t>
      </w:r>
    </w:p>
    <w:p>
      <w:pPr>
        <w:pStyle w:val="10"/>
        <w:bidi w:val="0"/>
        <w:rPr>
          <w:rFonts w:hint="default"/>
          <w:b/>
          <w:bCs/>
          <w:color w:val="auto"/>
          <w:lang w:val="en-US" w:eastAsia="zh-CN"/>
        </w:rPr>
      </w:pPr>
    </w:p>
    <w:p>
      <w:pPr>
        <w:keepNext w:val="0"/>
        <w:keepLines w:val="0"/>
        <w:pageBreakBefore w:val="0"/>
        <w:widowControl/>
        <w:kinsoku/>
        <w:wordWrap/>
        <w:overflowPunct/>
        <w:topLinePunct w:val="0"/>
        <w:autoSpaceDE/>
        <w:autoSpaceDN/>
        <w:bidi w:val="0"/>
        <w:adjustRightInd/>
        <w:snapToGrid/>
        <w:spacing w:after="160"/>
        <w:textAlignment w:val="auto"/>
        <w:outlineLvl w:val="1"/>
        <w:rPr>
          <w:rFonts w:hint="default" w:eastAsia="宋体"/>
          <w:b/>
          <w:bCs/>
          <w:color w:val="auto"/>
          <w:sz w:val="24"/>
          <w:szCs w:val="16"/>
          <w:lang w:val="en-US" w:eastAsia="zh-CN"/>
        </w:rPr>
      </w:pPr>
      <w:r>
        <w:rPr>
          <w:rFonts w:hint="eastAsia" w:eastAsia="宋体"/>
          <w:b/>
          <w:bCs/>
          <w:color w:val="auto"/>
          <w:sz w:val="24"/>
          <w:szCs w:val="16"/>
          <w:lang w:val="en-US" w:eastAsia="zh-CN"/>
        </w:rPr>
        <w:t>2.2 Search limitation</w:t>
      </w:r>
    </w:p>
    <w:p>
      <w:pPr>
        <w:keepNext w:val="0"/>
        <w:keepLines w:val="0"/>
        <w:pageBreakBefore w:val="0"/>
        <w:widowControl/>
        <w:kinsoku/>
        <w:wordWrap/>
        <w:overflowPunct/>
        <w:topLinePunct w:val="0"/>
        <w:autoSpaceDE/>
        <w:autoSpaceDN/>
        <w:bidi w:val="0"/>
        <w:adjustRightInd/>
        <w:snapToGrid/>
        <w:spacing w:after="120"/>
        <w:textAlignment w:val="auto"/>
        <w:rPr>
          <w:rFonts w:hint="eastAsia"/>
          <w:color w:val="auto"/>
          <w:lang w:val="en-US" w:eastAsia="zh-CN"/>
        </w:rPr>
      </w:pPr>
      <w:r>
        <w:rPr>
          <w:rFonts w:hint="eastAsia"/>
          <w:color w:val="auto"/>
          <w:lang w:val="en-US" w:eastAsia="zh-CN"/>
        </w:rPr>
        <w:t>Regarding the search limitation, the options proposed in the last meeting is given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numPr>
                <w:ilvl w:val="1"/>
                <w:numId w:val="7"/>
              </w:numPr>
              <w:spacing w:after="120"/>
              <w:ind w:firstLineChars="0"/>
              <w:rPr>
                <w:rFonts w:hint="default" w:ascii="Times New Roman" w:hAnsi="Times New Roman" w:eastAsia="宋体" w:cs="Times New Roman"/>
                <w:sz w:val="20"/>
                <w:szCs w:val="22"/>
                <w:highlight w:val="none"/>
                <w:lang w:eastAsia="zh-CN"/>
              </w:rPr>
            </w:pPr>
            <w:r>
              <w:rPr>
                <w:rFonts w:hint="default" w:ascii="Times New Roman" w:hAnsi="Times New Roman" w:eastAsia="宋体" w:cs="Times New Roman"/>
                <w:sz w:val="20"/>
                <w:szCs w:val="22"/>
                <w:highlight w:val="none"/>
                <w:lang w:eastAsia="zh-CN"/>
              </w:rPr>
              <w:t xml:space="preserve">Option 1: </w:t>
            </w:r>
            <w:r>
              <w:rPr>
                <w:rFonts w:hint="default" w:ascii="Times New Roman" w:hAnsi="Times New Roman" w:cs="Times New Roman"/>
                <w:sz w:val="20"/>
                <w:szCs w:val="21"/>
                <w:highlight w:val="none"/>
              </w:rPr>
              <w:t>Inter-RAT LTE measurement without gap(case b-2) can be performed in parallel with NR measurement without searcher limitation</w:t>
            </w:r>
          </w:p>
          <w:p>
            <w:pPr>
              <w:pStyle w:val="29"/>
              <w:numPr>
                <w:ilvl w:val="1"/>
                <w:numId w:val="7"/>
              </w:numPr>
              <w:spacing w:after="120"/>
              <w:ind w:firstLineChars="0"/>
              <w:rPr>
                <w:rFonts w:hint="default" w:ascii="Times New Roman" w:hAnsi="Times New Roman" w:eastAsia="宋体" w:cs="Times New Roman"/>
                <w:sz w:val="20"/>
                <w:szCs w:val="22"/>
                <w:highlight w:val="none"/>
                <w:lang w:eastAsia="zh-CN"/>
              </w:rPr>
            </w:pPr>
            <w:r>
              <w:rPr>
                <w:rFonts w:hint="default" w:ascii="Times New Roman" w:hAnsi="Times New Roman" w:cs="Times New Roman"/>
                <w:sz w:val="20"/>
                <w:szCs w:val="21"/>
                <w:highlight w:val="none"/>
              </w:rPr>
              <w:t>Option 2: Performing inter-RAT measurement and NR measurements in parallel without searcher limitation is NOT supported</w:t>
            </w:r>
            <w:r>
              <w:rPr>
                <w:rFonts w:hint="default" w:ascii="Times New Roman" w:hAnsi="Times New Roman" w:eastAsia="宋体" w:cs="Times New Roman"/>
                <w:sz w:val="20"/>
                <w:szCs w:val="21"/>
                <w:highlight w:val="none"/>
                <w:lang w:val="en-US" w:eastAsia="zh-CN"/>
              </w:rPr>
              <w:t xml:space="preserve"> proponent</w:t>
            </w:r>
          </w:p>
          <w:p>
            <w:pPr>
              <w:pStyle w:val="29"/>
              <w:numPr>
                <w:ilvl w:val="1"/>
                <w:numId w:val="7"/>
              </w:numPr>
              <w:spacing w:after="120"/>
              <w:ind w:firstLineChars="0"/>
              <w:rPr>
                <w:rFonts w:hint="eastAsia"/>
                <w:color w:val="auto"/>
                <w:vertAlign w:val="baseline"/>
                <w:lang w:val="en-US" w:eastAsia="zh-CN"/>
              </w:rPr>
            </w:pPr>
            <w:r>
              <w:rPr>
                <w:rFonts w:hint="default" w:ascii="Times New Roman" w:hAnsi="Times New Roman" w:eastAsia="宋体" w:cs="Times New Roman"/>
                <w:sz w:val="20"/>
                <w:szCs w:val="22"/>
                <w:highlight w:val="none"/>
                <w:lang w:eastAsia="zh-CN"/>
              </w:rPr>
              <w:t>Option 3: RAN4 shall delay the discussion on searcher limitation requirement until RAN4 reaches conclusion on parallel measurements</w:t>
            </w:r>
          </w:p>
        </w:tc>
      </w:tr>
    </w:tbl>
    <w:p>
      <w:pPr>
        <w:pStyle w:val="10"/>
        <w:keepNext w:val="0"/>
        <w:keepLines w:val="0"/>
        <w:pageBreakBefore w:val="0"/>
        <w:widowControl/>
        <w:kinsoku/>
        <w:wordWrap/>
        <w:overflowPunct/>
        <w:topLinePunct w:val="0"/>
        <w:autoSpaceDE/>
        <w:autoSpaceDN/>
        <w:bidi w:val="0"/>
        <w:adjustRightInd/>
        <w:snapToGrid/>
        <w:spacing w:before="120"/>
        <w:textAlignment w:val="auto"/>
        <w:rPr>
          <w:rFonts w:hint="default"/>
          <w:lang w:val="en-US" w:eastAsia="zh-CN"/>
        </w:rPr>
      </w:pPr>
      <w:r>
        <w:rPr>
          <w:rFonts w:hint="eastAsia"/>
          <w:color w:val="auto"/>
          <w:lang w:val="en-US" w:eastAsia="zh-CN"/>
        </w:rPr>
        <w:t>In NR, there are at most two parallel measurements allowed. Specifically, one searcher is used by PCell, and the other searcher is shared by all other MOs without gap. While considering LTE CRS can be located in any place, there is no concept of searcher in the LTE. And inter-RAT LTE measurement has not been considered in the definition of CSSF</w:t>
      </w:r>
      <w:r>
        <w:rPr>
          <w:rFonts w:hint="eastAsia"/>
          <w:color w:val="auto"/>
          <w:vertAlign w:val="subscript"/>
          <w:lang w:val="en-US" w:eastAsia="zh-CN"/>
        </w:rPr>
        <w:t>outside_gap</w:t>
      </w:r>
      <w:r>
        <w:rPr>
          <w:rFonts w:hint="eastAsia"/>
          <w:color w:val="auto"/>
          <w:lang w:val="en-US" w:eastAsia="zh-CN"/>
        </w:rPr>
        <w:t xml:space="preserve"> yet. Thus, we think</w:t>
      </w:r>
      <w:r>
        <w:rPr>
          <w:rFonts w:hint="default"/>
          <w:lang w:val="en-US" w:eastAsia="zh-CN"/>
        </w:rPr>
        <w:t xml:space="preserve"> inter-RAT LTE measurement without gap can be performed in parallel with NR measurement.</w:t>
      </w:r>
    </w:p>
    <w:p>
      <w:pPr>
        <w:pStyle w:val="10"/>
        <w:bidi w:val="0"/>
        <w:rPr>
          <w:rFonts w:hint="default"/>
          <w:b/>
          <w:bCs/>
          <w:lang w:val="en-US" w:eastAsia="zh-CN"/>
        </w:rPr>
      </w:pPr>
      <w:r>
        <w:rPr>
          <w:rFonts w:hint="eastAsia"/>
          <w:b/>
          <w:bCs/>
          <w:color w:val="auto"/>
          <w:lang w:val="en-US" w:eastAsia="zh-CN"/>
        </w:rPr>
        <w:t xml:space="preserve">Proposal 3: </w:t>
      </w:r>
      <w:r>
        <w:rPr>
          <w:rFonts w:hint="eastAsia"/>
          <w:b/>
          <w:bCs/>
          <w:lang w:val="en-US" w:eastAsia="zh-CN"/>
        </w:rPr>
        <w:t>I</w:t>
      </w:r>
      <w:r>
        <w:rPr>
          <w:rFonts w:hint="default"/>
          <w:b/>
          <w:bCs/>
          <w:lang w:val="en-US" w:eastAsia="zh-CN"/>
        </w:rPr>
        <w:t>nter-RAT LTE measurement without gap can be performed in parallel with NR measurement without searcher limitation.</w:t>
      </w:r>
    </w:p>
    <w:p>
      <w:pPr>
        <w:bidi w:val="0"/>
        <w:rPr>
          <w:rFonts w:hint="default"/>
          <w:color w:val="auto"/>
          <w:lang w:val="en-US" w:eastAsia="zh-CN"/>
        </w:rPr>
      </w:pPr>
    </w:p>
    <w:p>
      <w:pPr>
        <w:keepNext w:val="0"/>
        <w:keepLines w:val="0"/>
        <w:pageBreakBefore w:val="0"/>
        <w:widowControl/>
        <w:kinsoku/>
        <w:wordWrap/>
        <w:overflowPunct/>
        <w:topLinePunct w:val="0"/>
        <w:autoSpaceDE/>
        <w:autoSpaceDN/>
        <w:bidi w:val="0"/>
        <w:adjustRightInd/>
        <w:snapToGrid/>
        <w:spacing w:after="160"/>
        <w:textAlignment w:val="auto"/>
        <w:outlineLvl w:val="1"/>
        <w:rPr>
          <w:rFonts w:hint="eastAsia" w:eastAsia="宋体"/>
          <w:b/>
          <w:bCs/>
          <w:color w:val="auto"/>
          <w:sz w:val="24"/>
          <w:szCs w:val="16"/>
          <w:lang w:val="en-US" w:eastAsia="zh-CN"/>
        </w:rPr>
      </w:pPr>
      <w:r>
        <w:rPr>
          <w:rFonts w:hint="eastAsia" w:eastAsia="宋体"/>
          <w:b/>
          <w:bCs/>
          <w:color w:val="auto"/>
          <w:sz w:val="24"/>
          <w:szCs w:val="16"/>
          <w:lang w:val="en-US" w:eastAsia="zh-CN"/>
        </w:rPr>
        <w:t>2.3 measurement reporting period requirements</w:t>
      </w:r>
    </w:p>
    <w:p>
      <w:pPr>
        <w:keepNext w:val="0"/>
        <w:keepLines w:val="0"/>
        <w:pageBreakBefore w:val="0"/>
        <w:widowControl/>
        <w:kinsoku/>
        <w:wordWrap/>
        <w:overflowPunct/>
        <w:topLinePunct w:val="0"/>
        <w:autoSpaceDE/>
        <w:autoSpaceDN/>
        <w:bidi w:val="0"/>
        <w:adjustRightInd/>
        <w:snapToGrid/>
        <w:spacing w:after="120"/>
        <w:textAlignment w:val="auto"/>
        <w:rPr>
          <w:rFonts w:hint="eastAsia"/>
          <w:lang w:val="en-US" w:eastAsia="zh-CN"/>
        </w:rPr>
      </w:pPr>
      <w:r>
        <w:rPr>
          <w:rFonts w:hint="eastAsia"/>
          <w:lang w:val="en-US" w:eastAsia="zh-CN"/>
        </w:rPr>
        <w:t>In the previous meeting, the measurement reporting period requirements were separated into the following types:</w:t>
      </w:r>
    </w:p>
    <w:p>
      <w:pPr>
        <w:keepNext w:val="0"/>
        <w:keepLines w:val="0"/>
        <w:pageBreakBefore w:val="0"/>
        <w:widowControl/>
        <w:numPr>
          <w:ilvl w:val="0"/>
          <w:numId w:val="8"/>
        </w:numPr>
        <w:kinsoku/>
        <w:wordWrap/>
        <w:overflowPunct/>
        <w:topLinePunct w:val="0"/>
        <w:autoSpaceDE/>
        <w:autoSpaceDN/>
        <w:bidi w:val="0"/>
        <w:adjustRightInd/>
        <w:snapToGrid/>
        <w:spacing w:after="120"/>
        <w:ind w:left="420" w:leftChars="0" w:hanging="420" w:firstLineChars="0"/>
        <w:textAlignment w:val="auto"/>
        <w:rPr>
          <w:rFonts w:hint="default"/>
          <w:lang w:val="en-US" w:eastAsia="zh-CN"/>
        </w:rPr>
      </w:pPr>
      <w:r>
        <w:rPr>
          <w:rFonts w:hint="default"/>
          <w:lang w:val="en-US" w:eastAsia="zh-CN"/>
        </w:rPr>
        <w:t>Issue 2-4-2: Measurement period requirements for case a-1 with “no gap but interruption allowed”</w:t>
      </w:r>
    </w:p>
    <w:p>
      <w:pPr>
        <w:keepNext w:val="0"/>
        <w:keepLines w:val="0"/>
        <w:pageBreakBefore w:val="0"/>
        <w:widowControl/>
        <w:numPr>
          <w:ilvl w:val="0"/>
          <w:numId w:val="8"/>
        </w:numPr>
        <w:kinsoku/>
        <w:wordWrap/>
        <w:overflowPunct/>
        <w:topLinePunct w:val="0"/>
        <w:autoSpaceDE/>
        <w:autoSpaceDN/>
        <w:bidi w:val="0"/>
        <w:adjustRightInd/>
        <w:snapToGrid/>
        <w:spacing w:after="120"/>
        <w:ind w:left="420" w:leftChars="0" w:hanging="420" w:firstLineChars="0"/>
        <w:textAlignment w:val="auto"/>
        <w:rPr>
          <w:rFonts w:hint="default"/>
          <w:lang w:val="en-US" w:eastAsia="zh-CN"/>
        </w:rPr>
      </w:pPr>
      <w:r>
        <w:rPr>
          <w:rFonts w:hint="default"/>
          <w:lang w:val="en-US" w:eastAsia="zh-CN"/>
        </w:rPr>
        <w:t>Issue 2-4-3: Measurement period requirements for case a-1 with “no gap no interruption”</w:t>
      </w:r>
    </w:p>
    <w:p>
      <w:pPr>
        <w:keepNext w:val="0"/>
        <w:keepLines w:val="0"/>
        <w:pageBreakBefore w:val="0"/>
        <w:widowControl/>
        <w:numPr>
          <w:ilvl w:val="0"/>
          <w:numId w:val="8"/>
        </w:numPr>
        <w:kinsoku/>
        <w:wordWrap/>
        <w:overflowPunct/>
        <w:topLinePunct w:val="0"/>
        <w:autoSpaceDE/>
        <w:autoSpaceDN/>
        <w:bidi w:val="0"/>
        <w:adjustRightInd/>
        <w:snapToGrid/>
        <w:spacing w:after="120"/>
        <w:ind w:left="420" w:leftChars="0" w:hanging="420" w:firstLineChars="0"/>
        <w:textAlignment w:val="auto"/>
        <w:rPr>
          <w:rFonts w:hint="default"/>
          <w:lang w:val="en-US" w:eastAsia="zh-CN"/>
        </w:rPr>
      </w:pPr>
      <w:r>
        <w:rPr>
          <w:rFonts w:hint="default"/>
          <w:lang w:val="en-US" w:eastAsia="zh-CN"/>
        </w:rPr>
        <w:t>Issue 2-4-5: Measurement period requirements for case b-1 no gap no interruption allowed</w:t>
      </w:r>
    </w:p>
    <w:p>
      <w:pPr>
        <w:keepNext w:val="0"/>
        <w:keepLines w:val="0"/>
        <w:pageBreakBefore w:val="0"/>
        <w:widowControl/>
        <w:numPr>
          <w:ilvl w:val="0"/>
          <w:numId w:val="8"/>
        </w:numPr>
        <w:kinsoku/>
        <w:wordWrap/>
        <w:overflowPunct/>
        <w:topLinePunct w:val="0"/>
        <w:autoSpaceDE/>
        <w:autoSpaceDN/>
        <w:bidi w:val="0"/>
        <w:adjustRightInd/>
        <w:snapToGrid/>
        <w:spacing w:after="120"/>
        <w:ind w:left="420" w:leftChars="0" w:hanging="420" w:firstLineChars="0"/>
        <w:textAlignment w:val="auto"/>
        <w:rPr>
          <w:rFonts w:hint="default"/>
          <w:lang w:val="en-US" w:eastAsia="zh-CN"/>
        </w:rPr>
      </w:pPr>
      <w:r>
        <w:rPr>
          <w:rFonts w:hint="default"/>
          <w:lang w:val="en-US" w:eastAsia="zh-CN"/>
        </w:rPr>
        <w:t>Issue 2-4-7: Measurement period requirements for case b-2 no gap no interruption allowed</w:t>
      </w:r>
    </w:p>
    <w:p>
      <w:pPr>
        <w:bidi w:val="0"/>
        <w:rPr>
          <w:b w:val="0"/>
          <w:bCs w:val="0"/>
          <w:u w:val="single"/>
        </w:rPr>
      </w:pPr>
    </w:p>
    <w:p>
      <w:pPr>
        <w:bidi w:val="0"/>
        <w:rPr>
          <w:b w:val="0"/>
          <w:bCs w:val="0"/>
          <w:u w:val="single"/>
        </w:rPr>
      </w:pPr>
      <w:r>
        <w:rPr>
          <w:b w:val="0"/>
          <w:bCs w:val="0"/>
          <w:u w:val="single"/>
        </w:rPr>
        <w:t>Issue 2-4-2: Measurement period requirements for case a-1 with “no gap but interruption allowed”</w:t>
      </w:r>
    </w:p>
    <w:p>
      <w:pPr>
        <w:rPr>
          <w:rFonts w:hint="default"/>
          <w:b w:val="0"/>
          <w:bCs w:val="0"/>
          <w:u w:val="single"/>
          <w:lang w:val="en-US" w:eastAsia="zh-CN"/>
        </w:rPr>
      </w:pPr>
      <w:r>
        <w:rPr>
          <w:rFonts w:hint="default"/>
          <w:b w:val="0"/>
          <w:bCs w:val="0"/>
          <w:lang w:val="en-US" w:eastAsia="zh-CN"/>
        </w:rPr>
        <w:t>I</w:t>
      </w:r>
      <w:r>
        <w:rPr>
          <w:rFonts w:hint="default"/>
          <w:b w:val="0"/>
          <w:bCs w:val="0"/>
          <w:u w:val="single"/>
          <w:lang w:val="en-US" w:eastAsia="zh-CN"/>
        </w:rPr>
        <w:t>ssue 2-4-3: Measurement period requirements for case a-1 with “no gap no interruption”</w:t>
      </w:r>
    </w:p>
    <w:p>
      <w:pPr>
        <w:keepNext w:val="0"/>
        <w:keepLines w:val="0"/>
        <w:pageBreakBefore w:val="0"/>
        <w:widowControl/>
        <w:kinsoku/>
        <w:wordWrap/>
        <w:overflowPunct/>
        <w:topLinePunct w:val="0"/>
        <w:autoSpaceDE/>
        <w:autoSpaceDN/>
        <w:bidi w:val="0"/>
        <w:adjustRightInd/>
        <w:snapToGrid/>
        <w:spacing w:before="120"/>
        <w:jc w:val="both"/>
        <w:textAlignment w:val="auto"/>
        <w:rPr>
          <w:rFonts w:hint="eastAsia" w:eastAsia="宋体"/>
          <w:szCs w:val="24"/>
          <w:lang w:val="en-US" w:eastAsia="zh-CN"/>
        </w:rPr>
      </w:pPr>
      <w:r>
        <w:rPr>
          <w:rFonts w:hint="eastAsia" w:eastAsia="宋体"/>
          <w:szCs w:val="24"/>
          <w:lang w:val="en-US" w:eastAsia="zh-CN"/>
        </w:rPr>
        <w:t xml:space="preserve">For the measurement period for case a-1 with </w:t>
      </w:r>
      <w:r>
        <w:rPr>
          <w:rFonts w:hint="default" w:eastAsia="宋体"/>
          <w:szCs w:val="24"/>
          <w:lang w:val="en-US" w:eastAsia="zh-CN"/>
        </w:rPr>
        <w:t>‘</w:t>
      </w:r>
      <w:r>
        <w:rPr>
          <w:rFonts w:hint="eastAsia" w:eastAsia="宋体"/>
          <w:szCs w:val="24"/>
          <w:lang w:val="en-US" w:eastAsia="zh-CN"/>
        </w:rPr>
        <w:t>no gap but interruption allowed</w:t>
      </w:r>
      <w:r>
        <w:rPr>
          <w:rFonts w:hint="default" w:eastAsia="宋体"/>
          <w:szCs w:val="24"/>
          <w:lang w:val="en-US" w:eastAsia="zh-CN"/>
        </w:rPr>
        <w:t>’</w:t>
      </w:r>
      <w:r>
        <w:rPr>
          <w:rFonts w:hint="eastAsia" w:eastAsia="宋体"/>
          <w:szCs w:val="24"/>
          <w:lang w:val="en-US" w:eastAsia="zh-CN"/>
        </w:rPr>
        <w:t>, in our view, there are two options for base line:</w:t>
      </w:r>
    </w:p>
    <w:p>
      <w:pPr>
        <w:numPr>
          <w:ilvl w:val="0"/>
          <w:numId w:val="9"/>
        </w:numPr>
        <w:ind w:left="420" w:leftChars="0" w:hanging="420" w:firstLineChars="0"/>
        <w:jc w:val="both"/>
        <w:rPr>
          <w:rFonts w:hint="eastAsia" w:eastAsia="宋体"/>
          <w:szCs w:val="24"/>
          <w:lang w:val="en-US" w:eastAsia="zh-CN"/>
        </w:rPr>
      </w:pPr>
      <w:r>
        <w:rPr>
          <w:rFonts w:hint="eastAsia" w:eastAsia="宋体"/>
          <w:szCs w:val="24"/>
          <w:lang w:val="en-US" w:eastAsia="zh-CN"/>
        </w:rPr>
        <w:t>Option 1: On the top of measurement period requirement for inter-RAT NR measurement in the TS36133 clause 8.1.2.4;</w:t>
      </w:r>
    </w:p>
    <w:p>
      <w:pPr>
        <w:numPr>
          <w:ilvl w:val="0"/>
          <w:numId w:val="9"/>
        </w:numPr>
        <w:ind w:left="420" w:leftChars="0" w:hanging="420" w:firstLineChars="0"/>
        <w:jc w:val="both"/>
        <w:rPr>
          <w:rFonts w:hint="eastAsia" w:eastAsia="宋体"/>
          <w:szCs w:val="24"/>
          <w:lang w:val="en-US" w:eastAsia="zh-CN"/>
        </w:rPr>
      </w:pPr>
      <w:r>
        <w:rPr>
          <w:rFonts w:hint="eastAsia" w:eastAsia="宋体"/>
          <w:szCs w:val="24"/>
          <w:lang w:val="en-US" w:eastAsia="zh-CN"/>
        </w:rPr>
        <w:t>Option 2: On the top of measurement period requirement for NR inter-freq no-gap measurement with interruption.</w:t>
      </w:r>
    </w:p>
    <w:p>
      <w:pPr>
        <w:jc w:val="both"/>
        <w:rPr>
          <w:rFonts w:hint="eastAsia" w:eastAsia="宋体"/>
          <w:szCs w:val="24"/>
          <w:lang w:val="en-US" w:eastAsia="zh-CN"/>
        </w:rPr>
      </w:pPr>
      <w:r>
        <w:rPr>
          <w:rFonts w:hint="eastAsia" w:eastAsia="宋体"/>
          <w:szCs w:val="24"/>
          <w:lang w:val="en-US" w:eastAsia="zh-CN"/>
        </w:rPr>
        <w:t>Compared with option 1, option 2 takes the impact of interruption into consideration. Thus, we prefer to take the measurement period requirements for inter-freq no-gap measurement with interruption as base line.</w:t>
      </w:r>
    </w:p>
    <w:p>
      <w:pPr>
        <w:jc w:val="both"/>
        <w:rPr>
          <w:rFonts w:hint="default" w:eastAsia="宋体"/>
          <w:b/>
          <w:bCs/>
          <w:szCs w:val="24"/>
          <w:lang w:val="en-US" w:eastAsia="zh-CN"/>
        </w:rPr>
      </w:pPr>
      <w:r>
        <w:rPr>
          <w:rFonts w:hint="eastAsia" w:eastAsia="宋体"/>
          <w:b/>
          <w:bCs/>
          <w:szCs w:val="24"/>
          <w:lang w:val="en-US" w:eastAsia="zh-CN"/>
        </w:rPr>
        <w:t xml:space="preserve">Proposal 4: For measurement period requirement for case a-1 with </w:t>
      </w:r>
      <w:r>
        <w:rPr>
          <w:rFonts w:hint="default" w:eastAsia="宋体"/>
          <w:b/>
          <w:bCs/>
          <w:szCs w:val="24"/>
          <w:lang w:val="en-US" w:eastAsia="zh-CN"/>
        </w:rPr>
        <w:t>‘</w:t>
      </w:r>
      <w:r>
        <w:rPr>
          <w:rFonts w:hint="eastAsia" w:eastAsia="宋体"/>
          <w:b/>
          <w:bCs/>
          <w:szCs w:val="24"/>
          <w:lang w:val="en-US" w:eastAsia="zh-CN"/>
        </w:rPr>
        <w:t>no gap but interruption allowed</w:t>
      </w:r>
      <w:r>
        <w:rPr>
          <w:rFonts w:hint="default" w:eastAsia="宋体"/>
          <w:b/>
          <w:bCs/>
          <w:szCs w:val="24"/>
          <w:lang w:val="en-US" w:eastAsia="zh-CN"/>
        </w:rPr>
        <w:t>’</w:t>
      </w:r>
      <w:r>
        <w:rPr>
          <w:rFonts w:hint="eastAsia" w:eastAsia="宋体"/>
          <w:b/>
          <w:bCs/>
          <w:szCs w:val="24"/>
          <w:lang w:val="en-US" w:eastAsia="zh-CN"/>
        </w:rPr>
        <w:t xml:space="preserve">, we can take the measurement period requirements for inter-freq no-gap-with-interruption measurement as base line. </w:t>
      </w:r>
    </w:p>
    <w:p>
      <w:pPr>
        <w:jc w:val="both"/>
        <w:rPr>
          <w:rFonts w:hint="eastAsia" w:eastAsia="宋体"/>
          <w:szCs w:val="24"/>
          <w:lang w:val="en-US" w:eastAsia="zh-CN"/>
        </w:rPr>
      </w:pPr>
    </w:p>
    <w:p>
      <w:pPr>
        <w:numPr>
          <w:ilvl w:val="0"/>
          <w:numId w:val="0"/>
        </w:numPr>
        <w:bidi w:val="0"/>
        <w:ind w:leftChars="0"/>
        <w:jc w:val="both"/>
        <w:rPr>
          <w:rFonts w:hint="eastAsia" w:eastAsia="宋体"/>
          <w:szCs w:val="24"/>
          <w:lang w:val="en-US" w:eastAsia="zh-CN"/>
        </w:rPr>
      </w:pPr>
      <w:r>
        <w:rPr>
          <w:rFonts w:hint="eastAsia" w:eastAsia="宋体"/>
          <w:szCs w:val="24"/>
          <w:lang w:val="en-US" w:eastAsia="zh-CN"/>
        </w:rPr>
        <w:t xml:space="preserve">Similarly, in our view, for measurement period requirement for case a-1 with </w:t>
      </w:r>
      <w:r>
        <w:rPr>
          <w:rFonts w:hint="default"/>
          <w:lang w:val="en-US" w:eastAsia="zh-CN"/>
        </w:rPr>
        <w:t>‘</w:t>
      </w:r>
      <w:r>
        <w:rPr>
          <w:rFonts w:hint="eastAsia" w:eastAsia="宋体"/>
          <w:szCs w:val="24"/>
          <w:lang w:val="en-US" w:eastAsia="zh-CN"/>
        </w:rPr>
        <w:t>no gap no interruption</w:t>
      </w:r>
      <w:r>
        <w:rPr>
          <w:rFonts w:hint="default"/>
          <w:lang w:val="en-US" w:eastAsia="zh-CN"/>
        </w:rPr>
        <w:t>’</w:t>
      </w:r>
      <w:r>
        <w:rPr>
          <w:rFonts w:hint="eastAsia" w:eastAsia="宋体"/>
          <w:szCs w:val="24"/>
          <w:lang w:val="en-US" w:eastAsia="zh-CN"/>
        </w:rPr>
        <w:t xml:space="preserve">, we can take the measurement period requirements for inter-freq no-gap measurement without interruption as base line. </w:t>
      </w:r>
    </w:p>
    <w:p>
      <w:pPr>
        <w:rPr>
          <w:rFonts w:hint="default" w:eastAsia="宋体"/>
          <w:b/>
          <w:bCs/>
          <w:szCs w:val="24"/>
          <w:lang w:val="en-US" w:eastAsia="zh-CN"/>
        </w:rPr>
      </w:pPr>
      <w:r>
        <w:rPr>
          <w:rFonts w:hint="eastAsia" w:eastAsia="宋体"/>
          <w:b/>
          <w:bCs/>
          <w:szCs w:val="24"/>
          <w:lang w:val="en-US" w:eastAsia="zh-CN"/>
        </w:rPr>
        <w:t>Proposal 5: For measurement period requirement for case a-1 with‘no gap no interruption’, we can take the measurement period requirements for inter-freq no-gap-no-interruption measurement as base line.</w:t>
      </w:r>
    </w:p>
    <w:p>
      <w:pPr>
        <w:rPr>
          <w:rFonts w:hint="eastAsia" w:eastAsia="宋体"/>
          <w:szCs w:val="24"/>
          <w:lang w:val="en-US" w:eastAsia="zh-CN"/>
        </w:rPr>
      </w:pPr>
    </w:p>
    <w:p>
      <w:pPr>
        <w:rPr>
          <w:rFonts w:hint="default" w:eastAsia="宋体"/>
          <w:b w:val="0"/>
          <w:bCs w:val="0"/>
          <w:szCs w:val="24"/>
          <w:u w:val="single"/>
          <w:lang w:val="en-US" w:eastAsia="zh-CN"/>
        </w:rPr>
      </w:pPr>
      <w:r>
        <w:rPr>
          <w:rFonts w:hint="default" w:eastAsia="宋体"/>
          <w:b w:val="0"/>
          <w:bCs w:val="0"/>
          <w:szCs w:val="24"/>
          <w:u w:val="single"/>
          <w:lang w:val="en-US" w:eastAsia="zh-CN"/>
        </w:rPr>
        <w:t>Issue 2-4-5: Measurement period requirements for case b-1 no gap no interruption allowed</w:t>
      </w:r>
    </w:p>
    <w:p>
      <w:pPr>
        <w:rPr>
          <w:rFonts w:hint="default" w:eastAsia="宋体"/>
          <w:b w:val="0"/>
          <w:bCs w:val="0"/>
          <w:szCs w:val="24"/>
          <w:u w:val="single"/>
          <w:lang w:val="en-US" w:eastAsia="zh-CN"/>
        </w:rPr>
      </w:pPr>
      <w:r>
        <w:rPr>
          <w:rFonts w:hint="default" w:eastAsia="宋体"/>
          <w:b w:val="0"/>
          <w:bCs w:val="0"/>
          <w:szCs w:val="24"/>
          <w:u w:val="single"/>
          <w:lang w:val="en-US" w:eastAsia="zh-CN"/>
        </w:rPr>
        <w:t>Issue 2-4-7: Measurement period requirements for case b-2 no gap no interruption allowed</w:t>
      </w:r>
    </w:p>
    <w:p>
      <w:pPr>
        <w:rPr>
          <w:rFonts w:hint="eastAsia" w:eastAsia="宋体"/>
          <w:lang w:val="en-US" w:eastAsia="zh-CN"/>
        </w:rPr>
      </w:pPr>
      <w:r>
        <w:rPr>
          <w:rFonts w:hint="eastAsia" w:eastAsia="宋体"/>
          <w:szCs w:val="24"/>
          <w:lang w:val="en-US" w:eastAsia="zh-CN"/>
        </w:rPr>
        <w:t>According to the discussions in the previous meetings, t</w:t>
      </w:r>
      <w:r>
        <w:rPr>
          <w:szCs w:val="24"/>
        </w:rPr>
        <w:t>he</w:t>
      </w:r>
      <w:r>
        <w:t xml:space="preserve"> measurement </w:t>
      </w:r>
      <w:r>
        <w:rPr>
          <w:rFonts w:hint="eastAsia" w:eastAsia="宋体"/>
          <w:lang w:val="en-US" w:eastAsia="zh-CN"/>
        </w:rPr>
        <w:t xml:space="preserve">period </w:t>
      </w:r>
      <w:r>
        <w:t>requirement</w:t>
      </w:r>
      <w:r>
        <w:rPr>
          <w:rFonts w:hint="eastAsia" w:eastAsia="宋体"/>
          <w:lang w:val="en-US" w:eastAsia="zh-CN"/>
        </w:rPr>
        <w:t>s</w:t>
      </w:r>
      <w:r>
        <w:t xml:space="preserve"> for case b-1 and case b-2 can be defined by </w:t>
      </w:r>
      <w:r>
        <w:rPr>
          <w:rFonts w:hint="eastAsia" w:eastAsia="宋体"/>
          <w:lang w:val="en-US" w:eastAsia="zh-CN"/>
        </w:rPr>
        <w:t>the following framework:</w:t>
      </w:r>
    </w:p>
    <w:p>
      <w:pPr>
        <w:rPr>
          <w:rFonts w:hint="default" w:eastAsia="宋体"/>
          <w:lang w:val="en-US" w:eastAsia="zh-CN"/>
        </w:rPr>
      </w:pPr>
      <m:oMathPara>
        <m:oMath>
          <m:sSub>
            <m:sSubPr>
              <m:ctrlPr>
                <w:rPr>
                  <w:rFonts w:ascii="Cambria Math" w:hAnsi="Cambria Math"/>
                  <w:lang w:val="en-US"/>
                </w:rPr>
              </m:ctrlPr>
            </m:sSubPr>
            <m:e>
              <m:r>
                <w:rPr>
                  <w:rFonts w:ascii="Cambria Math" w:hAnsi="Cambria Math"/>
                  <w:lang w:val="en-US"/>
                </w:rPr>
                <m:t>T</m:t>
              </m:r>
              <m:ctrlPr>
                <w:rPr>
                  <w:rFonts w:ascii="Cambria Math" w:hAnsi="Cambria Math"/>
                  <w:lang w:val="en-US"/>
                </w:rPr>
              </m:ctrlPr>
            </m:e>
            <m:sub>
              <m:r>
                <m:rPr>
                  <m:sty m:val="p"/>
                </m:rPr>
                <w:rPr>
                  <w:rFonts w:ascii="Cambria Math" w:hAnsi="Cambria Math"/>
                  <w:lang w:val="en-US"/>
                </w:rPr>
                <m:t>Identify,  interRAT_EUTRAN_gapless</m:t>
              </m:r>
              <m:ctrlPr>
                <w:rPr>
                  <w:rFonts w:ascii="Cambria Math" w:hAnsi="Cambria Math"/>
                  <w:lang w:val="en-US"/>
                </w:rPr>
              </m:ctrlP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ctrlPr>
                <w:rPr>
                  <w:rFonts w:ascii="Cambria Math" w:hAnsi="Cambria Math"/>
                  <w:lang w:val="en-US"/>
                </w:rPr>
              </m:ctrlPr>
            </m:e>
            <m:sub>
              <m:r>
                <m:rPr>
                  <m:sty m:val="p"/>
                </m:rPr>
                <w:rPr>
                  <w:rFonts w:ascii="Cambria Math" w:hAnsi="Cambria Math"/>
                  <w:lang w:val="en-US"/>
                </w:rPr>
                <m:t>BasicIdentify</m:t>
              </m:r>
              <m:ctrlPr>
                <w:rPr>
                  <w:rFonts w:ascii="Cambria Math" w:hAnsi="Cambria Math"/>
                  <w:lang w:val="en-US"/>
                </w:rPr>
              </m:ctrlP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ctrlPr>
                <w:rPr>
                  <w:rFonts w:ascii="Cambria Math" w:hAnsi="Cambria Math"/>
                  <w:lang w:val="en-US"/>
                </w:rPr>
              </m:ctrlPr>
            </m:num>
            <m:den>
              <m:sSub>
                <m:sSubPr>
                  <m:ctrlPr>
                    <w:rPr>
                      <w:rFonts w:ascii="Cambria Math" w:hAnsi="Cambria Math"/>
                      <w:lang w:val="en-US"/>
                    </w:rPr>
                  </m:ctrlPr>
                </m:sSubPr>
                <m:e>
                  <m:r>
                    <w:rPr>
                      <w:rFonts w:ascii="Cambria Math" w:hAnsi="Cambria Math"/>
                      <w:lang w:val="en-US"/>
                    </w:rPr>
                    <m:t>T</m:t>
                  </m:r>
                  <m:ctrlPr>
                    <w:rPr>
                      <w:rFonts w:ascii="Cambria Math" w:hAnsi="Cambria Math"/>
                      <w:lang w:val="en-US"/>
                    </w:rPr>
                  </m:ctrlPr>
                </m:e>
                <m:sub>
                  <m:r>
                    <m:rPr>
                      <m:sty m:val="p"/>
                    </m:rPr>
                    <w:rPr>
                      <w:rFonts w:ascii="Cambria Math" w:hAnsi="Cambria Math"/>
                      <w:lang w:val="en-US"/>
                    </w:rPr>
                    <m:t>Inter1</m:t>
                  </m:r>
                  <m:ctrlPr>
                    <w:rPr>
                      <w:rFonts w:ascii="Cambria Math" w:hAnsi="Cambria Math"/>
                      <w:lang w:val="en-US"/>
                    </w:rPr>
                  </m:ctrlPr>
                </m:sub>
              </m:sSub>
              <m:ctrlPr>
                <w:rPr>
                  <w:rFonts w:ascii="Cambria Math" w:hAnsi="Cambria Math"/>
                  <w:lang w:val="en-US"/>
                </w:rPr>
              </m:ctrlPr>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ctrlPr>
                <w:rPr>
                  <w:rFonts w:ascii="Cambria Math" w:hAnsi="Cambria Math"/>
                  <w:i/>
                  <w:lang w:val="en-US"/>
                </w:rPr>
              </m:ctrlPr>
            </m:e>
            <m:sub>
              <m:r>
                <m:rPr>
                  <m:sty m:val="p"/>
                </m:rPr>
                <w:rPr>
                  <w:rFonts w:ascii="Cambria Math" w:hAnsi="Cambria Math"/>
                  <w:lang w:val="en-US"/>
                </w:rPr>
                <m:t>interRAT</m:t>
              </m:r>
              <m:ctrlPr>
                <w:rPr>
                  <w:rFonts w:ascii="Cambria Math" w:hAnsi="Cambria Math"/>
                  <w:i/>
                  <w:lang w:val="en-US"/>
                </w:rPr>
              </m:ctrlPr>
            </m:sub>
          </m:sSub>
          <m:r>
            <m:rPr>
              <m:sty m:val="p"/>
            </m:rPr>
            <w:rPr>
              <w:rFonts w:ascii="Cambria Math" w:hAnsi="Cambria Math"/>
              <w:lang w:val="en-US"/>
            </w:rPr>
            <m:t xml:space="preserve">      </m:t>
          </m:r>
          <m:r>
            <w:rPr>
              <w:rFonts w:ascii="Cambria Math" w:hAnsi="Cambria Math"/>
              <w:lang w:val="en-US"/>
            </w:rPr>
            <m:t>ms</m:t>
          </m:r>
        </m:oMath>
      </m:oMathPara>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hAnsi="Cambria Math" w:eastAsia="宋体"/>
          <w:i w:val="0"/>
          <w:lang w:val="en-US" w:eastAsia="zh-CN"/>
        </w:rPr>
      </w:pPr>
      <w:r>
        <w:rPr>
          <w:rFonts w:hint="eastAsia" w:hAnsi="Cambria Math" w:eastAsia="宋体"/>
          <w:i w:val="0"/>
          <w:lang w:val="en-US" w:eastAsia="zh-CN"/>
        </w:rPr>
        <w:t xml:space="preserve">Where, </w:t>
      </w:r>
      <m:oMath>
        <m:sSub>
          <m:sSubPr>
            <m:ctrlPr>
              <w:rPr>
                <w:rFonts w:ascii="Cambria Math" w:hAnsi="Cambria Math"/>
                <w:lang w:val="en-US"/>
              </w:rPr>
            </m:ctrlPr>
          </m:sSubPr>
          <m:e>
            <m:r>
              <w:rPr>
                <w:rFonts w:ascii="Cambria Math" w:hAnsi="Cambria Math"/>
                <w:lang w:val="en-US"/>
              </w:rPr>
              <m:t>T</m:t>
            </m:r>
            <m:ctrlPr>
              <w:rPr>
                <w:rFonts w:ascii="Cambria Math" w:hAnsi="Cambria Math"/>
                <w:lang w:val="en-US"/>
              </w:rPr>
            </m:ctrlPr>
          </m:e>
          <m:sub>
            <m:r>
              <m:rPr>
                <m:sty m:val="p"/>
              </m:rPr>
              <w:rPr>
                <w:rFonts w:ascii="Cambria Math" w:hAnsi="Cambria Math"/>
                <w:lang w:val="en-US"/>
              </w:rPr>
              <m:t>BasicIdentify</m:t>
            </m:r>
            <m:ctrlPr>
              <w:rPr>
                <w:rFonts w:ascii="Cambria Math" w:hAnsi="Cambria Math"/>
                <w:lang w:val="en-US"/>
              </w:rPr>
            </m:ctrlPr>
          </m:sub>
        </m:sSub>
      </m:oMath>
      <w:r>
        <w:rPr>
          <w:rFonts w:hint="eastAsia" w:hAnsi="Cambria Math" w:eastAsia="宋体"/>
          <w:i w:val="0"/>
          <w:lang w:val="en-US" w:eastAsia="zh-CN"/>
        </w:rPr>
        <w:t xml:space="preserve"> is the time period used in the inter-RAT LTE equation where the maximum allowed time for the UE to identity a new inter-RAT LTE Cell is defined. </w:t>
      </w:r>
      <w:r>
        <w:rPr>
          <w:rFonts w:hint="eastAsia" w:eastAsia="宋体"/>
          <w:vertAlign w:val="baseline"/>
          <w:lang w:val="en-US" w:eastAsia="zh-CN"/>
        </w:rPr>
        <w:t xml:space="preserve">According to the existing specification, </w:t>
      </w:r>
      <w:r>
        <w:rPr>
          <w:rFonts w:hint="default" w:ascii="Times New Roman" w:hAnsi="Times New Roman" w:eastAsia="Times New Roman"/>
          <w:sz w:val="20"/>
          <w:szCs w:val="24"/>
        </w:rPr>
        <w:t>T</w:t>
      </w:r>
      <w:r>
        <w:rPr>
          <w:rFonts w:hint="default" w:ascii="Times New Roman" w:hAnsi="Times New Roman" w:eastAsia="Times New Roman"/>
          <w:sz w:val="13"/>
          <w:szCs w:val="24"/>
        </w:rPr>
        <w:t xml:space="preserve">BasicIdentify </w:t>
      </w:r>
      <w:r>
        <w:rPr>
          <w:rFonts w:hint="default" w:ascii="Times New Roman" w:hAnsi="Times New Roman" w:eastAsia="Times New Roman"/>
          <w:sz w:val="20"/>
          <w:szCs w:val="24"/>
        </w:rPr>
        <w:t>= 480 ms</w:t>
      </w:r>
      <w:r>
        <w:rPr>
          <w:rFonts w:hint="eastAsia" w:eastAsia="宋体"/>
          <w:sz w:val="20"/>
          <w:szCs w:val="24"/>
          <w:lang w:val="en-US" w:eastAsia="zh-CN"/>
        </w:rPr>
        <w:t xml:space="preserve"> for MG and NCSG. </w:t>
      </w:r>
      <w:r>
        <w:rPr>
          <w:rFonts w:hint="eastAsia" w:hAnsi="Cambria Math" w:eastAsia="宋体"/>
          <w:i w:val="0"/>
          <w:lang w:val="en-US" w:eastAsia="zh-CN"/>
        </w:rPr>
        <w:t xml:space="preserve">For </w:t>
      </w:r>
      <m:oMath>
        <m:sSub>
          <m:sSubPr>
            <m:ctrlPr>
              <w:rPr>
                <w:rFonts w:ascii="Cambria Math" w:hAnsi="Cambria Math"/>
                <w:i/>
                <w:lang w:val="en-US"/>
              </w:rPr>
            </m:ctrlPr>
          </m:sSubPr>
          <m:e>
            <m:r>
              <m:rPr>
                <m:sty m:val="p"/>
              </m:rPr>
              <w:rPr>
                <w:rFonts w:ascii="Cambria Math" w:hAnsi="Cambria Math"/>
                <w:lang w:val="en-US"/>
              </w:rPr>
              <m:t>CSSF</m:t>
            </m:r>
            <m:ctrlPr>
              <w:rPr>
                <w:rFonts w:ascii="Cambria Math" w:hAnsi="Cambria Math"/>
                <w:i/>
                <w:lang w:val="en-US"/>
              </w:rPr>
            </m:ctrlPr>
          </m:e>
          <m:sub>
            <m:r>
              <m:rPr>
                <m:sty m:val="p"/>
              </m:rPr>
              <w:rPr>
                <w:rFonts w:ascii="Cambria Math" w:hAnsi="Cambria Math"/>
                <w:lang w:val="en-US"/>
              </w:rPr>
              <m:t>interRAT</m:t>
            </m:r>
            <m:ctrlPr>
              <w:rPr>
                <w:rFonts w:ascii="Cambria Math" w:hAnsi="Cambria Math"/>
                <w:i/>
                <w:lang w:val="en-US"/>
              </w:rPr>
            </m:ctrlPr>
          </m:sub>
        </m:sSub>
      </m:oMath>
      <w:r>
        <w:rPr>
          <w:rFonts w:hint="eastAsia" w:hAnsi="Cambria Math" w:eastAsia="宋体"/>
          <w:i w:val="0"/>
          <w:lang w:val="en-US" w:eastAsia="zh-CN"/>
        </w:rPr>
        <w:t xml:space="preserve">, </w:t>
      </w:r>
      <w:r>
        <w:rPr>
          <w:rFonts w:hint="default" w:ascii="Times New Roman" w:hAnsi="Times New Roman" w:eastAsia="Times New Roman"/>
          <w:sz w:val="20"/>
          <w:szCs w:val="24"/>
        </w:rPr>
        <w:t>it is a carrier specific scaling factor and is determined</w:t>
      </w:r>
      <w:r>
        <w:rPr>
          <w:rFonts w:hint="eastAsia" w:ascii="Times New Roman" w:hAnsi="Times New Roman" w:eastAsia="宋体"/>
          <w:sz w:val="20"/>
          <w:szCs w:val="24"/>
          <w:lang w:val="en-US" w:eastAsia="zh-CN"/>
        </w:rPr>
        <w:t xml:space="preserve"> </w:t>
      </w:r>
      <w:r>
        <w:rPr>
          <w:rFonts w:hint="default" w:ascii="Times New Roman" w:hAnsi="Times New Roman" w:eastAsia="Times New Roman"/>
          <w:sz w:val="20"/>
          <w:szCs w:val="24"/>
        </w:rPr>
        <w:t>according to CSSF</w:t>
      </w:r>
      <w:r>
        <w:rPr>
          <w:rFonts w:hint="default" w:ascii="Times New Roman" w:hAnsi="Times New Roman" w:eastAsia="Times New Roman"/>
          <w:sz w:val="13"/>
          <w:szCs w:val="24"/>
        </w:rPr>
        <w:t>outside_gap,i</w:t>
      </w:r>
      <w:r>
        <w:rPr>
          <w:rFonts w:hint="eastAsia" w:ascii="Times New Roman" w:hAnsi="Times New Roman" w:eastAsia="宋体"/>
          <w:sz w:val="13"/>
          <w:szCs w:val="24"/>
          <w:lang w:val="en-US" w:eastAsia="zh-CN"/>
        </w:rPr>
        <w:t xml:space="preserve"> </w:t>
      </w:r>
      <w:r>
        <w:rPr>
          <w:rFonts w:hint="default" w:ascii="Times New Roman" w:hAnsi="Times New Roman" w:eastAsia="Times New Roman"/>
          <w:sz w:val="20"/>
          <w:szCs w:val="24"/>
        </w:rPr>
        <w:t>for measurement conducted outside</w:t>
      </w:r>
      <w:r>
        <w:rPr>
          <w:rFonts w:hint="eastAsia" w:ascii="Times New Roman" w:hAnsi="Times New Roman" w:eastAsia="宋体"/>
          <w:sz w:val="20"/>
          <w:szCs w:val="24"/>
          <w:lang w:val="en-US" w:eastAsia="zh-CN"/>
        </w:rPr>
        <w:t xml:space="preserve"> </w:t>
      </w:r>
      <w:r>
        <w:rPr>
          <w:rFonts w:hint="default" w:ascii="Times New Roman" w:hAnsi="Times New Roman" w:eastAsia="Times New Roman"/>
          <w:sz w:val="20"/>
          <w:szCs w:val="24"/>
        </w:rPr>
        <w:t>measurement gap</w:t>
      </w:r>
      <w:r>
        <w:rPr>
          <w:rFonts w:hint="eastAsia" w:ascii="Times New Roman" w:hAnsi="Times New Roman" w:eastAsia="宋体"/>
          <w:sz w:val="20"/>
          <w:szCs w:val="24"/>
          <w:lang w:val="en-US" w:eastAsia="zh-CN"/>
        </w:rPr>
        <w:t>.</w:t>
      </w:r>
      <w:r>
        <w:rPr>
          <w:rFonts w:hint="eastAsia" w:eastAsia="宋体"/>
          <w:sz w:val="20"/>
          <w:szCs w:val="24"/>
          <w:lang w:val="en-US" w:eastAsia="zh-CN"/>
        </w:rPr>
        <w:t xml:space="preserve"> However, </w:t>
      </w:r>
      <w:r>
        <w:rPr>
          <w:rFonts w:hint="eastAsia" w:ascii="Times New Roman" w:hAnsi="Times New Roman" w:eastAsia="宋体"/>
          <w:sz w:val="20"/>
          <w:szCs w:val="24"/>
          <w:lang w:val="en-US" w:eastAsia="zh-CN"/>
        </w:rPr>
        <w:t xml:space="preserve">there is no definition of </w:t>
      </w:r>
      <m:oMath>
        <m:sSub>
          <m:sSubPr>
            <m:ctrlPr>
              <w:rPr>
                <w:rFonts w:ascii="Cambria Math" w:hAnsi="Cambria Math"/>
                <w:lang w:val="en-US"/>
              </w:rPr>
            </m:ctrlPr>
          </m:sSubPr>
          <m:e>
            <m:r>
              <w:rPr>
                <w:rFonts w:ascii="Cambria Math" w:hAnsi="Cambria Math"/>
                <w:lang w:val="en-US"/>
              </w:rPr>
              <m:t>T</m:t>
            </m:r>
            <m:ctrlPr>
              <w:rPr>
                <w:rFonts w:ascii="Cambria Math" w:hAnsi="Cambria Math"/>
                <w:lang w:val="en-US"/>
              </w:rPr>
            </m:ctrlPr>
          </m:e>
          <m:sub>
            <m:r>
              <m:rPr>
                <m:sty m:val="p"/>
              </m:rPr>
              <w:rPr>
                <w:rFonts w:ascii="Cambria Math" w:hAnsi="Cambria Math"/>
                <w:lang w:val="en-US"/>
              </w:rPr>
              <m:t>BasicIdentify</m:t>
            </m:r>
            <m:ctrlPr>
              <w:rPr>
                <w:rFonts w:ascii="Cambria Math" w:hAnsi="Cambria Math"/>
                <w:lang w:val="en-US"/>
              </w:rPr>
            </m:ctrlPr>
          </m:sub>
        </m:sSub>
      </m:oMath>
      <w:r>
        <w:rPr>
          <w:rFonts w:hint="eastAsia" w:hAnsi="Cambria Math" w:eastAsia="宋体"/>
          <w:i w:val="0"/>
          <w:lang w:val="en-US" w:eastAsia="zh-CN"/>
        </w:rPr>
        <w:t xml:space="preserve"> and </w:t>
      </w:r>
      <m:oMath>
        <m:sSub>
          <m:sSubPr>
            <m:ctrlPr>
              <w:rPr>
                <w:rFonts w:ascii="Cambria Math" w:hAnsi="Cambria Math"/>
                <w:i/>
                <w:lang w:val="en-US"/>
              </w:rPr>
            </m:ctrlPr>
          </m:sSubPr>
          <m:e>
            <m:r>
              <m:rPr>
                <m:sty m:val="p"/>
              </m:rPr>
              <w:rPr>
                <w:rFonts w:ascii="Cambria Math" w:hAnsi="Cambria Math"/>
                <w:lang w:val="en-US"/>
              </w:rPr>
              <m:t>CSSF</m:t>
            </m:r>
            <m:ctrlPr>
              <w:rPr>
                <w:rFonts w:ascii="Cambria Math" w:hAnsi="Cambria Math"/>
                <w:i/>
                <w:lang w:val="en-US"/>
              </w:rPr>
            </m:ctrlPr>
          </m:e>
          <m:sub>
            <m:r>
              <m:rPr>
                <m:sty m:val="p"/>
              </m:rPr>
              <w:rPr>
                <w:rFonts w:ascii="Cambria Math" w:hAnsi="Cambria Math"/>
                <w:lang w:val="en-US"/>
              </w:rPr>
              <m:t>interRAT</m:t>
            </m:r>
            <m:ctrlPr>
              <w:rPr>
                <w:rFonts w:ascii="Cambria Math" w:hAnsi="Cambria Math"/>
                <w:i/>
                <w:lang w:val="en-US"/>
              </w:rPr>
            </m:ctrlPr>
          </m:sub>
        </m:sSub>
      </m:oMath>
      <w:r>
        <w:rPr>
          <w:rFonts w:hint="eastAsia" w:hAnsi="Cambria Math" w:eastAsia="宋体"/>
          <w:i w:val="0"/>
          <w:lang w:val="en-US" w:eastAsia="zh-CN"/>
        </w:rPr>
        <w:t xml:space="preserve"> in the inter-RAT LTE measurement without gap. In our view, </w:t>
      </w:r>
      <w:r>
        <w:rPr>
          <w:rFonts w:hint="default" w:ascii="Times New Roman" w:hAnsi="Times New Roman" w:eastAsia="Times New Roman"/>
          <w:sz w:val="20"/>
          <w:szCs w:val="24"/>
        </w:rPr>
        <w:t>T</w:t>
      </w:r>
      <w:r>
        <w:rPr>
          <w:rFonts w:hint="default" w:ascii="Times New Roman" w:hAnsi="Times New Roman" w:eastAsia="Times New Roman"/>
          <w:sz w:val="13"/>
          <w:szCs w:val="24"/>
        </w:rPr>
        <w:t>BasicIdentify</w:t>
      </w:r>
      <w:r>
        <w:rPr>
          <w:rFonts w:hint="eastAsia" w:eastAsia="宋体"/>
          <w:sz w:val="13"/>
          <w:szCs w:val="24"/>
          <w:lang w:val="en-US" w:eastAsia="zh-CN"/>
        </w:rPr>
        <w:t xml:space="preserve"> </w:t>
      </w:r>
      <w:r>
        <w:rPr>
          <w:rFonts w:hint="eastAsia" w:eastAsia="宋体"/>
          <w:sz w:val="20"/>
          <w:szCs w:val="24"/>
          <w:lang w:val="en-US" w:eastAsia="zh-CN"/>
        </w:rPr>
        <w:t>keeps 480ms in the inter-RAT LTE no-gap measurement, and</w:t>
      </w:r>
      <w:r>
        <w:rPr>
          <w:rFonts w:hint="eastAsia" w:ascii="Times New Roman" w:hAnsi="Times New Roman" w:eastAsia="宋体"/>
          <w:sz w:val="20"/>
          <w:szCs w:val="24"/>
          <w:lang w:val="en-US" w:eastAsia="zh-CN"/>
        </w:rPr>
        <w:t xml:space="preserve"> </w:t>
      </w:r>
      <m:oMath>
        <m:sSub>
          <m:sSubPr>
            <m:ctrlPr>
              <w:rPr>
                <w:rFonts w:ascii="Cambria Math" w:hAnsi="Cambria Math"/>
                <w:i/>
                <w:lang w:val="en-US"/>
              </w:rPr>
            </m:ctrlPr>
          </m:sSubPr>
          <m:e>
            <m:r>
              <m:rPr>
                <m:sty m:val="p"/>
              </m:rPr>
              <w:rPr>
                <w:rFonts w:ascii="Cambria Math" w:hAnsi="Cambria Math"/>
                <w:lang w:val="en-US"/>
              </w:rPr>
              <m:t>CSSF</m:t>
            </m:r>
            <m:ctrlPr>
              <w:rPr>
                <w:rFonts w:ascii="Cambria Math" w:hAnsi="Cambria Math"/>
                <w:i/>
                <w:lang w:val="en-US"/>
              </w:rPr>
            </m:ctrlPr>
          </m:e>
          <m:sub>
            <m:r>
              <m:rPr>
                <m:sty m:val="p"/>
              </m:rPr>
              <w:rPr>
                <w:rFonts w:ascii="Cambria Math" w:hAnsi="Cambria Math"/>
                <w:lang w:val="en-US"/>
              </w:rPr>
              <m:t>interRAT</m:t>
            </m:r>
            <m:ctrlPr>
              <w:rPr>
                <w:rFonts w:ascii="Cambria Math" w:hAnsi="Cambria Math"/>
                <w:i/>
                <w:lang w:val="en-US"/>
              </w:rPr>
            </m:ctrlPr>
          </m:sub>
        </m:sSub>
      </m:oMath>
      <w:r>
        <w:rPr>
          <w:rFonts w:hint="eastAsia" w:hAnsi="Cambria Math" w:eastAsia="宋体"/>
          <w:i w:val="0"/>
          <w:lang w:val="en-US" w:eastAsia="zh-CN"/>
        </w:rPr>
        <w:t xml:space="preserve"> </w:t>
      </w:r>
      <w:r>
        <w:rPr>
          <w:rFonts w:hint="eastAsia" w:ascii="Times New Roman" w:hAnsi="Times New Roman" w:eastAsia="宋体"/>
          <w:sz w:val="20"/>
          <w:szCs w:val="24"/>
          <w:lang w:val="en-US" w:eastAsia="zh-CN"/>
        </w:rPr>
        <w:t>shall take no gap LTE MO into consideration.</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color w:val="auto"/>
          <w:lang w:val="en-US" w:eastAsia="zh-CN"/>
        </w:rPr>
      </w:pPr>
      <w:r>
        <w:rPr>
          <w:rFonts w:hint="eastAsia" w:eastAsia="宋体"/>
          <w:b/>
          <w:bCs/>
          <w:szCs w:val="24"/>
          <w:lang w:val="en-US" w:eastAsia="zh-CN"/>
        </w:rPr>
        <w:t>Proposal 6: For</w:t>
      </w:r>
      <w:r>
        <w:rPr>
          <w:b/>
          <w:bCs/>
        </w:rPr>
        <w:t xml:space="preserve"> measurement requirement for case b-1 and case b-2</w:t>
      </w:r>
      <w:r>
        <w:rPr>
          <w:rFonts w:hint="eastAsia" w:eastAsia="宋体"/>
          <w:b/>
          <w:bCs/>
          <w:lang w:val="en-US" w:eastAsia="zh-CN"/>
        </w:rPr>
        <w:t xml:space="preserve">, </w:t>
      </w:r>
      <m:oMath>
        <m:sSub>
          <m:sSubPr>
            <m:ctrlPr>
              <w:rPr>
                <w:rFonts w:hint="default" w:ascii="Cambria Math" w:hAnsi="Cambria Math" w:cs="Times New Roman"/>
                <w:b/>
                <w:bCs/>
                <w:lang w:val="en-US"/>
              </w:rPr>
            </m:ctrlPr>
          </m:sSubPr>
          <m:e>
            <m:r>
              <m:rPr>
                <m:sty m:val="bi"/>
              </m:rPr>
              <w:rPr>
                <w:rFonts w:hint="default" w:ascii="Cambria Math" w:hAnsi="Cambria Math" w:cs="Times New Roman"/>
                <w:lang w:val="en-US"/>
              </w:rPr>
              <m:t>T</m:t>
            </m:r>
            <m:ctrlPr>
              <w:rPr>
                <w:rFonts w:hint="default" w:ascii="Cambria Math" w:hAnsi="Cambria Math" w:cs="Times New Roman"/>
                <w:b/>
                <w:bCs/>
                <w:lang w:val="en-US"/>
              </w:rPr>
            </m:ctrlPr>
          </m:e>
          <m:sub>
            <m:r>
              <m:rPr>
                <m:sty m:val="b"/>
              </m:rPr>
              <w:rPr>
                <w:rFonts w:hint="default" w:ascii="Cambria Math" w:hAnsi="Cambria Math" w:cs="Times New Roman"/>
                <w:lang w:val="en-US"/>
              </w:rPr>
              <m:t>BasicIdentify</m:t>
            </m:r>
            <m:ctrlPr>
              <w:rPr>
                <w:rFonts w:hint="default" w:ascii="Cambria Math" w:hAnsi="Cambria Math" w:cs="Times New Roman"/>
                <w:b/>
                <w:bCs/>
                <w:lang w:val="en-US"/>
              </w:rPr>
            </m:ctrlPr>
          </m:sub>
        </m:sSub>
      </m:oMath>
      <w:r>
        <w:rPr>
          <w:rFonts w:hint="default" w:ascii="Times New Roman" w:hAnsi="Times New Roman" w:eastAsia="Times New Roman"/>
          <w:b/>
          <w:bCs/>
          <w:sz w:val="13"/>
          <w:szCs w:val="24"/>
        </w:rPr>
        <w:t xml:space="preserve"> </w:t>
      </w:r>
      <w:r>
        <w:rPr>
          <w:rFonts w:hint="eastAsia" w:eastAsia="宋体"/>
          <w:b/>
          <w:bCs/>
          <w:sz w:val="13"/>
          <w:szCs w:val="24"/>
          <w:lang w:val="en-US" w:eastAsia="zh-CN"/>
        </w:rPr>
        <w:t xml:space="preserve"> </w:t>
      </w:r>
      <w:r>
        <w:rPr>
          <w:rFonts w:hint="eastAsia" w:eastAsia="宋体"/>
          <w:b/>
          <w:bCs/>
          <w:sz w:val="20"/>
          <w:szCs w:val="24"/>
          <w:lang w:val="en-US" w:eastAsia="zh-CN"/>
        </w:rPr>
        <w:t xml:space="preserve">keeps </w:t>
      </w:r>
      <w:r>
        <w:rPr>
          <w:rFonts w:hint="default" w:ascii="Times New Roman" w:hAnsi="Times New Roman" w:eastAsia="Times New Roman"/>
          <w:b/>
          <w:bCs/>
          <w:sz w:val="20"/>
          <w:szCs w:val="24"/>
        </w:rPr>
        <w:t>480 ms</w:t>
      </w:r>
      <w:r>
        <w:rPr>
          <w:rFonts w:hint="eastAsia" w:eastAsia="宋体"/>
          <w:b/>
          <w:bCs/>
          <w:sz w:val="20"/>
          <w:szCs w:val="24"/>
          <w:lang w:val="en-US" w:eastAsia="zh-CN"/>
        </w:rPr>
        <w:t xml:space="preserve">, and </w:t>
      </w:r>
      <m:oMath>
        <m:sSub>
          <m:sSubPr>
            <m:ctrlPr>
              <w:rPr>
                <w:rFonts w:ascii="Cambria Math" w:hAnsi="Cambria Math"/>
                <w:b/>
                <w:bCs/>
                <w:i/>
                <w:lang w:val="en-US"/>
              </w:rPr>
            </m:ctrlPr>
          </m:sSubPr>
          <m:e>
            <m:r>
              <m:rPr>
                <m:sty m:val="b"/>
              </m:rPr>
              <w:rPr>
                <w:rFonts w:hint="default" w:ascii="Cambria Math" w:hAnsi="Cambria Math"/>
                <w:lang w:val="en-US"/>
              </w:rPr>
              <m:t>CSSF</m:t>
            </m:r>
            <m:ctrlPr>
              <w:rPr>
                <w:rFonts w:ascii="Cambria Math" w:hAnsi="Cambria Math"/>
                <w:b/>
                <w:bCs/>
                <w:i/>
                <w:lang w:val="en-US"/>
              </w:rPr>
            </m:ctrlPr>
          </m:e>
          <m:sub>
            <m:r>
              <m:rPr>
                <m:sty m:val="b"/>
              </m:rPr>
              <w:rPr>
                <w:rFonts w:hint="default" w:ascii="Cambria Math" w:hAnsi="Cambria Math"/>
                <w:lang w:val="en-US"/>
              </w:rPr>
              <m:t>interRAT</m:t>
            </m:r>
            <m:ctrlPr>
              <w:rPr>
                <w:rFonts w:ascii="Cambria Math" w:hAnsi="Cambria Math"/>
                <w:b/>
                <w:bCs/>
                <w:i/>
                <w:lang w:val="en-US"/>
              </w:rPr>
            </m:ctrlPr>
          </m:sub>
        </m:sSub>
      </m:oMath>
      <w:r>
        <w:rPr>
          <w:rFonts w:hint="eastAsia" w:hAnsi="Cambria Math" w:eastAsia="宋体"/>
          <w:b/>
          <w:bCs/>
          <w:i w:val="0"/>
          <w:lang w:val="en-US" w:eastAsia="zh-CN"/>
        </w:rPr>
        <w:t xml:space="preserve"> ta</w:t>
      </w:r>
      <w:r>
        <w:rPr>
          <w:rFonts w:hint="eastAsia" w:hAnsi="Cambria Math" w:eastAsia="宋体"/>
          <w:b/>
          <w:bCs/>
          <w:i w:val="0"/>
          <w:color w:val="auto"/>
          <w:lang w:val="en-US" w:eastAsia="zh-CN"/>
        </w:rPr>
        <w:t>kes ga</w:t>
      </w:r>
      <w:r>
        <w:rPr>
          <w:rFonts w:hint="eastAsia" w:hAnsi="Cambria Math" w:eastAsia="宋体"/>
          <w:b/>
          <w:bCs/>
          <w:i w:val="0"/>
          <w:lang w:val="en-US" w:eastAsia="zh-CN"/>
        </w:rPr>
        <w:t>p-less LTE MO into consideration.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10"/>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observations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inter-RAT measurement without gaps</w:t>
      </w:r>
      <w:r>
        <w:rPr>
          <w:rFonts w:eastAsia="宋体"/>
          <w:bCs/>
          <w:color w:val="auto"/>
          <w:sz w:val="20"/>
          <w:szCs w:val="20"/>
          <w:lang w:val="en-GB" w:eastAsia="zh-CN"/>
        </w:rPr>
        <w:t>:</w:t>
      </w:r>
    </w:p>
    <w:p>
      <w:pPr>
        <w:pStyle w:val="10"/>
        <w:bidi w:val="0"/>
        <w:jc w:val="both"/>
        <w:rPr>
          <w:rFonts w:hint="eastAsia"/>
          <w:b/>
          <w:bCs/>
          <w:color w:val="auto"/>
          <w:lang w:val="en-US" w:eastAsia="zh-CN"/>
        </w:rPr>
      </w:pPr>
      <w:r>
        <w:rPr>
          <w:rFonts w:hint="eastAsia"/>
          <w:b/>
          <w:bCs/>
          <w:color w:val="auto"/>
          <w:lang w:val="en-US" w:eastAsia="zh-CN"/>
        </w:rPr>
        <w:t>Proposal 1: Power imbalance issue only causes measurement delay issue rather than interruption.</w:t>
      </w:r>
    </w:p>
    <w:p>
      <w:pPr>
        <w:pStyle w:val="10"/>
        <w:bidi w:val="0"/>
        <w:jc w:val="both"/>
        <w:rPr>
          <w:rFonts w:hint="eastAsia"/>
          <w:b/>
          <w:bCs/>
          <w:color w:val="auto"/>
          <w:lang w:val="en-US" w:eastAsia="zh-CN"/>
        </w:rPr>
      </w:pPr>
      <w:r>
        <w:rPr>
          <w:rFonts w:hint="eastAsia"/>
          <w:b/>
          <w:bCs/>
          <w:color w:val="auto"/>
          <w:lang w:val="en-US" w:eastAsia="zh-CN"/>
        </w:rPr>
        <w:t>Proposal 2: The scheduling restriction shall be defined for inter-RAT LTE measurement case b-2 with mixed numerology.</w:t>
      </w:r>
    </w:p>
    <w:p>
      <w:pPr>
        <w:pStyle w:val="10"/>
        <w:bidi w:val="0"/>
        <w:jc w:val="both"/>
        <w:rPr>
          <w:rFonts w:hint="default"/>
          <w:b/>
          <w:bCs/>
          <w:lang w:val="en-US" w:eastAsia="zh-CN"/>
        </w:rPr>
      </w:pPr>
      <w:r>
        <w:rPr>
          <w:rFonts w:hint="eastAsia"/>
          <w:b/>
          <w:bCs/>
          <w:color w:val="auto"/>
          <w:lang w:val="en-US" w:eastAsia="zh-CN"/>
        </w:rPr>
        <w:t xml:space="preserve">Proposal 3: </w:t>
      </w:r>
      <w:r>
        <w:rPr>
          <w:rFonts w:hint="eastAsia"/>
          <w:b/>
          <w:bCs/>
          <w:lang w:val="en-US" w:eastAsia="zh-CN"/>
        </w:rPr>
        <w:t>I</w:t>
      </w:r>
      <w:r>
        <w:rPr>
          <w:rFonts w:hint="default"/>
          <w:b/>
          <w:bCs/>
          <w:lang w:val="en-US" w:eastAsia="zh-CN"/>
        </w:rPr>
        <w:t>nter-RAT LTE measurement without gap can be performed in parallel with NR measurement without searcher limitation.</w:t>
      </w:r>
    </w:p>
    <w:p>
      <w:pPr>
        <w:jc w:val="both"/>
        <w:rPr>
          <w:rFonts w:hint="default" w:eastAsia="宋体"/>
          <w:b/>
          <w:bCs/>
          <w:szCs w:val="24"/>
          <w:lang w:val="en-US" w:eastAsia="zh-CN"/>
        </w:rPr>
      </w:pPr>
      <w:r>
        <w:rPr>
          <w:rFonts w:hint="eastAsia" w:eastAsia="宋体"/>
          <w:b/>
          <w:bCs/>
          <w:szCs w:val="24"/>
          <w:lang w:val="en-US" w:eastAsia="zh-CN"/>
        </w:rPr>
        <w:t xml:space="preserve">Proposal 4: For measurement period requirement for case a-1 with </w:t>
      </w:r>
      <w:r>
        <w:rPr>
          <w:rFonts w:hint="default" w:eastAsia="宋体"/>
          <w:b/>
          <w:bCs/>
          <w:szCs w:val="24"/>
          <w:lang w:val="en-US" w:eastAsia="zh-CN"/>
        </w:rPr>
        <w:t>‘</w:t>
      </w:r>
      <w:r>
        <w:rPr>
          <w:rFonts w:hint="eastAsia" w:eastAsia="宋体"/>
          <w:b/>
          <w:bCs/>
          <w:szCs w:val="24"/>
          <w:lang w:val="en-US" w:eastAsia="zh-CN"/>
        </w:rPr>
        <w:t>no gap but interruption allowed</w:t>
      </w:r>
      <w:r>
        <w:rPr>
          <w:rFonts w:hint="default" w:eastAsia="宋体"/>
          <w:b/>
          <w:bCs/>
          <w:szCs w:val="24"/>
          <w:lang w:val="en-US" w:eastAsia="zh-CN"/>
        </w:rPr>
        <w:t>’</w:t>
      </w:r>
      <w:r>
        <w:rPr>
          <w:rFonts w:hint="eastAsia" w:eastAsia="宋体"/>
          <w:b/>
          <w:bCs/>
          <w:szCs w:val="24"/>
          <w:lang w:val="en-US" w:eastAsia="zh-CN"/>
        </w:rPr>
        <w:t xml:space="preserve">, we can take the measurement period requirements for inter-freq no-gap-with-interruption measurement as base line. </w:t>
      </w:r>
    </w:p>
    <w:p>
      <w:pPr>
        <w:jc w:val="both"/>
        <w:rPr>
          <w:rFonts w:hint="default" w:eastAsia="宋体"/>
          <w:b/>
          <w:bCs/>
          <w:szCs w:val="24"/>
          <w:lang w:val="en-US" w:eastAsia="zh-CN"/>
        </w:rPr>
      </w:pPr>
      <w:r>
        <w:rPr>
          <w:rFonts w:hint="eastAsia" w:eastAsia="宋体"/>
          <w:b/>
          <w:bCs/>
          <w:szCs w:val="24"/>
          <w:lang w:val="en-US" w:eastAsia="zh-CN"/>
        </w:rPr>
        <w:t>Proposal 5: For measurement period requirement for case a-1 with‘no gap no interruption’, we can take the measurement period requirements for inter-freq no-gap-no-interruption measurement as base line.</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b/>
          <w:bCs/>
          <w:color w:val="auto"/>
          <w:lang w:val="en-US" w:eastAsia="zh-CN"/>
        </w:rPr>
      </w:pPr>
      <w:r>
        <w:rPr>
          <w:rFonts w:hint="eastAsia" w:eastAsia="宋体"/>
          <w:b/>
          <w:bCs/>
          <w:szCs w:val="24"/>
          <w:lang w:val="en-US" w:eastAsia="zh-CN"/>
        </w:rPr>
        <w:t>Proposal 6: For</w:t>
      </w:r>
      <w:r>
        <w:rPr>
          <w:b/>
          <w:bCs/>
        </w:rPr>
        <w:t xml:space="preserve"> measurement requirement for case b-1 and case b-2</w:t>
      </w:r>
      <w:r>
        <w:rPr>
          <w:rFonts w:hint="eastAsia" w:eastAsia="宋体"/>
          <w:b/>
          <w:bCs/>
          <w:lang w:val="en-US" w:eastAsia="zh-CN"/>
        </w:rPr>
        <w:t xml:space="preserve">, </w:t>
      </w:r>
      <m:oMath>
        <m:sSub>
          <m:sSubPr>
            <m:ctrlPr>
              <w:rPr>
                <w:rFonts w:hint="default" w:ascii="Cambria Math" w:hAnsi="Cambria Math" w:cs="Times New Roman"/>
                <w:b/>
                <w:bCs/>
                <w:lang w:val="en-US"/>
              </w:rPr>
            </m:ctrlPr>
          </m:sSubPr>
          <m:e>
            <m:r>
              <m:rPr>
                <m:sty m:val="bi"/>
              </m:rPr>
              <w:rPr>
                <w:rFonts w:hint="default" w:ascii="Cambria Math" w:hAnsi="Cambria Math" w:cs="Times New Roman"/>
                <w:lang w:val="en-US"/>
              </w:rPr>
              <m:t>T</m:t>
            </m:r>
            <m:ctrlPr>
              <w:rPr>
                <w:rFonts w:hint="default" w:ascii="Cambria Math" w:hAnsi="Cambria Math" w:cs="Times New Roman"/>
                <w:b/>
                <w:bCs/>
                <w:lang w:val="en-US"/>
              </w:rPr>
            </m:ctrlPr>
          </m:e>
          <m:sub>
            <m:r>
              <m:rPr>
                <m:sty m:val="b"/>
              </m:rPr>
              <w:rPr>
                <w:rFonts w:hint="default" w:ascii="Cambria Math" w:hAnsi="Cambria Math" w:cs="Times New Roman"/>
                <w:lang w:val="en-US"/>
              </w:rPr>
              <m:t>BasicIdentify</m:t>
            </m:r>
            <m:ctrlPr>
              <w:rPr>
                <w:rFonts w:hint="default" w:ascii="Cambria Math" w:hAnsi="Cambria Math" w:cs="Times New Roman"/>
                <w:b/>
                <w:bCs/>
                <w:lang w:val="en-US"/>
              </w:rPr>
            </m:ctrlPr>
          </m:sub>
        </m:sSub>
      </m:oMath>
      <w:r>
        <w:rPr>
          <w:rFonts w:hint="default" w:ascii="Times New Roman" w:hAnsi="Times New Roman" w:eastAsia="Times New Roman"/>
          <w:b/>
          <w:bCs/>
          <w:sz w:val="13"/>
          <w:szCs w:val="24"/>
        </w:rPr>
        <w:t xml:space="preserve"> </w:t>
      </w:r>
      <w:r>
        <w:rPr>
          <w:rFonts w:hint="eastAsia" w:eastAsia="宋体"/>
          <w:b/>
          <w:bCs/>
          <w:sz w:val="13"/>
          <w:szCs w:val="24"/>
          <w:lang w:val="en-US" w:eastAsia="zh-CN"/>
        </w:rPr>
        <w:t xml:space="preserve"> </w:t>
      </w:r>
      <w:r>
        <w:rPr>
          <w:rFonts w:hint="eastAsia" w:eastAsia="宋体"/>
          <w:b/>
          <w:bCs/>
          <w:sz w:val="20"/>
          <w:szCs w:val="24"/>
          <w:lang w:val="en-US" w:eastAsia="zh-CN"/>
        </w:rPr>
        <w:t xml:space="preserve">keeps </w:t>
      </w:r>
      <w:r>
        <w:rPr>
          <w:rFonts w:hint="default" w:ascii="Times New Roman" w:hAnsi="Times New Roman" w:eastAsia="Times New Roman"/>
          <w:b/>
          <w:bCs/>
          <w:sz w:val="20"/>
          <w:szCs w:val="24"/>
        </w:rPr>
        <w:t>480 ms</w:t>
      </w:r>
      <w:r>
        <w:rPr>
          <w:rFonts w:hint="eastAsia" w:eastAsia="宋体"/>
          <w:b/>
          <w:bCs/>
          <w:sz w:val="20"/>
          <w:szCs w:val="24"/>
          <w:lang w:val="en-US" w:eastAsia="zh-CN"/>
        </w:rPr>
        <w:t xml:space="preserve">, and </w:t>
      </w:r>
      <m:oMath>
        <m:sSub>
          <m:sSubPr>
            <m:ctrlPr>
              <w:rPr>
                <w:rFonts w:ascii="Cambria Math" w:hAnsi="Cambria Math"/>
                <w:b/>
                <w:bCs/>
                <w:i/>
                <w:lang w:val="en-US"/>
              </w:rPr>
            </m:ctrlPr>
          </m:sSubPr>
          <m:e>
            <m:r>
              <m:rPr>
                <m:sty m:val="b"/>
              </m:rPr>
              <w:rPr>
                <w:rFonts w:hint="default" w:ascii="Cambria Math" w:hAnsi="Cambria Math"/>
                <w:lang w:val="en-US"/>
              </w:rPr>
              <m:t>CSSF</m:t>
            </m:r>
            <m:ctrlPr>
              <w:rPr>
                <w:rFonts w:ascii="Cambria Math" w:hAnsi="Cambria Math"/>
                <w:b/>
                <w:bCs/>
                <w:i/>
                <w:lang w:val="en-US"/>
              </w:rPr>
            </m:ctrlPr>
          </m:e>
          <m:sub>
            <m:r>
              <m:rPr>
                <m:sty m:val="b"/>
              </m:rPr>
              <w:rPr>
                <w:rFonts w:hint="default" w:ascii="Cambria Math" w:hAnsi="Cambria Math"/>
                <w:lang w:val="en-US"/>
              </w:rPr>
              <m:t>interRAT</m:t>
            </m:r>
            <m:ctrlPr>
              <w:rPr>
                <w:rFonts w:ascii="Cambria Math" w:hAnsi="Cambria Math"/>
                <w:b/>
                <w:bCs/>
                <w:i/>
                <w:lang w:val="en-US"/>
              </w:rPr>
            </m:ctrlPr>
          </m:sub>
        </m:sSub>
      </m:oMath>
      <w:r>
        <w:rPr>
          <w:rFonts w:hint="eastAsia" w:hAnsi="Cambria Math" w:eastAsia="宋体"/>
          <w:b/>
          <w:bCs/>
          <w:i w:val="0"/>
          <w:lang w:val="en-US" w:eastAsia="zh-CN"/>
        </w:rPr>
        <w:t xml:space="preserve"> ta</w:t>
      </w:r>
      <w:r>
        <w:rPr>
          <w:rFonts w:hint="eastAsia" w:hAnsi="Cambria Math" w:eastAsia="宋体"/>
          <w:b/>
          <w:bCs/>
          <w:i w:val="0"/>
          <w:color w:val="auto"/>
          <w:lang w:val="en-US" w:eastAsia="zh-CN"/>
        </w:rPr>
        <w:t>kes ga</w:t>
      </w:r>
      <w:r>
        <w:rPr>
          <w:rFonts w:hint="eastAsia" w:hAnsi="Cambria Math" w:eastAsia="宋体"/>
          <w:b/>
          <w:bCs/>
          <w:i w:val="0"/>
          <w:lang w:val="en-US" w:eastAsia="zh-CN"/>
        </w:rPr>
        <w:t>p-less LTE MO into consideration.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1"/>
        <w:numPr>
          <w:ilvl w:val="0"/>
          <w:numId w:val="0"/>
        </w:numPr>
        <w:ind w:leftChars="0"/>
        <w:rPr>
          <w:rFonts w:hint="default" w:eastAsia="宋体"/>
          <w:color w:val="auto"/>
          <w:sz w:val="20"/>
          <w:szCs w:val="20"/>
          <w:lang w:val="en-US" w:eastAsia="zh-CN"/>
        </w:rPr>
      </w:pPr>
      <w:r>
        <w:rPr>
          <w:rFonts w:hint="eastAsia"/>
          <w:color w:val="auto"/>
          <w:highlight w:val="none"/>
          <w:lang w:val="en-US" w:eastAsia="zh-CN"/>
        </w:rPr>
        <w:t xml:space="preserve">[1]  </w:t>
      </w:r>
      <w:r>
        <w:rPr>
          <w:rFonts w:hint="eastAsia"/>
          <w:color w:val="auto"/>
          <w:sz w:val="20"/>
          <w:szCs w:val="20"/>
          <w:highlight w:val="none"/>
          <w:lang w:val="en-US" w:eastAsia="zh-CN"/>
        </w:rPr>
        <w:t xml:space="preserve">R4-2310052 </w:t>
      </w:r>
      <w:r>
        <w:rPr>
          <w:rFonts w:hint="default"/>
          <w:color w:val="auto"/>
          <w:sz w:val="20"/>
          <w:szCs w:val="20"/>
          <w:highlight w:val="none"/>
          <w:lang w:val="en-US" w:eastAsia="zh-CN"/>
        </w:rPr>
        <w:t>“WF on measurements without gaps”</w:t>
      </w:r>
      <w:r>
        <w:rPr>
          <w:rFonts w:hint="eastAsia"/>
          <w:color w:val="auto"/>
          <w:sz w:val="20"/>
          <w:szCs w:val="20"/>
          <w:highlight w:val="none"/>
          <w:lang w:val="en-US" w:eastAsia="zh-CN"/>
        </w:rPr>
        <w:t>, Intel Corporation</w:t>
      </w: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0AA383"/>
    <w:multiLevelType w:val="singleLevel"/>
    <w:tmpl w:val="BF0AA383"/>
    <w:lvl w:ilvl="0" w:tentative="0">
      <w:start w:val="1"/>
      <w:numFmt w:val="bullet"/>
      <w:lvlText w:val=""/>
      <w:lvlJc w:val="left"/>
      <w:pPr>
        <w:ind w:left="420" w:hanging="420"/>
      </w:pPr>
      <w:rPr>
        <w:rFonts w:hint="default" w:ascii="Wingdings" w:hAnsi="Wingdings"/>
      </w:rPr>
    </w:lvl>
  </w:abstractNum>
  <w:abstractNum w:abstractNumId="1">
    <w:nsid w:val="171A640B"/>
    <w:multiLevelType w:val="multilevel"/>
    <w:tmpl w:val="171A640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B9783D2"/>
    <w:multiLevelType w:val="singleLevel"/>
    <w:tmpl w:val="3B9783D2"/>
    <w:lvl w:ilvl="0" w:tentative="0">
      <w:start w:val="1"/>
      <w:numFmt w:val="bullet"/>
      <w:lvlText w:val=""/>
      <w:lvlJc w:val="left"/>
      <w:pPr>
        <w:ind w:left="420" w:hanging="420"/>
      </w:pPr>
      <w:rPr>
        <w:rFonts w:hint="default" w:ascii="Wingdings" w:hAnsi="Wingdings"/>
      </w:rPr>
    </w:lvl>
  </w:abstractNum>
  <w:abstractNum w:abstractNumId="4">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color w:val="auto"/>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6">
    <w:nsid w:val="60FC4601"/>
    <w:multiLevelType w:val="singleLevel"/>
    <w:tmpl w:val="60FC4601"/>
    <w:lvl w:ilvl="0" w:tentative="0">
      <w:start w:val="1"/>
      <w:numFmt w:val="bullet"/>
      <w:lvlText w:val=""/>
      <w:lvlJc w:val="left"/>
      <w:pPr>
        <w:ind w:left="420" w:hanging="420"/>
      </w:pPr>
      <w:rPr>
        <w:rFonts w:hint="default" w:ascii="Wingdings" w:hAnsi="Wingdings"/>
      </w:rPr>
    </w:lvl>
  </w:abstractNum>
  <w:abstractNum w:abstractNumId="7">
    <w:nsid w:val="6B5B4F67"/>
    <w:multiLevelType w:val="multilevel"/>
    <w:tmpl w:val="6B5B4F67"/>
    <w:lvl w:ilvl="0" w:tentative="0">
      <w:start w:val="1"/>
      <w:numFmt w:val="decimal"/>
      <w:pStyle w:val="11"/>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8">
    <w:nsid w:val="79FD337F"/>
    <w:multiLevelType w:val="multilevel"/>
    <w:tmpl w:val="79FD337F"/>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7"/>
  </w:num>
  <w:num w:numId="2">
    <w:abstractNumId w:val="4"/>
  </w:num>
  <w:num w:numId="3">
    <w:abstractNumId w:val="2"/>
  </w:num>
  <w:num w:numId="4">
    <w:abstractNumId w:val="8"/>
  </w:num>
  <w:num w:numId="5">
    <w:abstractNumId w:val="1"/>
  </w:num>
  <w:num w:numId="6">
    <w:abstractNumId w:val="6"/>
  </w:num>
  <w:num w:numId="7">
    <w:abstractNumId w:val="5"/>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79E"/>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37C9"/>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530A"/>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85A"/>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450C"/>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1AF"/>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1ED6"/>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71045D"/>
    <w:rsid w:val="01837E20"/>
    <w:rsid w:val="018C289C"/>
    <w:rsid w:val="01AF002B"/>
    <w:rsid w:val="01C32830"/>
    <w:rsid w:val="01EF5458"/>
    <w:rsid w:val="01F91D59"/>
    <w:rsid w:val="02213226"/>
    <w:rsid w:val="02266331"/>
    <w:rsid w:val="023147A4"/>
    <w:rsid w:val="02334141"/>
    <w:rsid w:val="02441D28"/>
    <w:rsid w:val="024B0DB3"/>
    <w:rsid w:val="026123BD"/>
    <w:rsid w:val="02843169"/>
    <w:rsid w:val="028B6A1D"/>
    <w:rsid w:val="028F1C3E"/>
    <w:rsid w:val="02BA3FA0"/>
    <w:rsid w:val="033D52CF"/>
    <w:rsid w:val="03527DC7"/>
    <w:rsid w:val="03602ABE"/>
    <w:rsid w:val="03757B60"/>
    <w:rsid w:val="037D0CB3"/>
    <w:rsid w:val="0391744B"/>
    <w:rsid w:val="03B47ADC"/>
    <w:rsid w:val="03D4720A"/>
    <w:rsid w:val="04654053"/>
    <w:rsid w:val="046D1AD8"/>
    <w:rsid w:val="046F3AAD"/>
    <w:rsid w:val="04793516"/>
    <w:rsid w:val="047A3CFF"/>
    <w:rsid w:val="049E4425"/>
    <w:rsid w:val="04FE5776"/>
    <w:rsid w:val="05317828"/>
    <w:rsid w:val="05477E90"/>
    <w:rsid w:val="05BB5AB9"/>
    <w:rsid w:val="05C42923"/>
    <w:rsid w:val="05D2518F"/>
    <w:rsid w:val="05F74837"/>
    <w:rsid w:val="05F77E20"/>
    <w:rsid w:val="06221798"/>
    <w:rsid w:val="062533C0"/>
    <w:rsid w:val="06257F06"/>
    <w:rsid w:val="0632289A"/>
    <w:rsid w:val="063E6A6E"/>
    <w:rsid w:val="06963BA6"/>
    <w:rsid w:val="06965F3C"/>
    <w:rsid w:val="06B50BDD"/>
    <w:rsid w:val="06CF381D"/>
    <w:rsid w:val="074D5303"/>
    <w:rsid w:val="0774438D"/>
    <w:rsid w:val="07877965"/>
    <w:rsid w:val="07884228"/>
    <w:rsid w:val="07A94B43"/>
    <w:rsid w:val="07CD3CDD"/>
    <w:rsid w:val="07FA6058"/>
    <w:rsid w:val="0855671D"/>
    <w:rsid w:val="089009EB"/>
    <w:rsid w:val="08957D6A"/>
    <w:rsid w:val="08A10821"/>
    <w:rsid w:val="08A9721B"/>
    <w:rsid w:val="08BC3A60"/>
    <w:rsid w:val="08DC1C1B"/>
    <w:rsid w:val="093D14C7"/>
    <w:rsid w:val="09716BCA"/>
    <w:rsid w:val="099A5B81"/>
    <w:rsid w:val="099E0A63"/>
    <w:rsid w:val="09C530E6"/>
    <w:rsid w:val="09D64B23"/>
    <w:rsid w:val="09E61C83"/>
    <w:rsid w:val="09E644B8"/>
    <w:rsid w:val="0A0A79AC"/>
    <w:rsid w:val="0A1A31A1"/>
    <w:rsid w:val="0A1E5CF3"/>
    <w:rsid w:val="0A2D323B"/>
    <w:rsid w:val="0A2F1BB4"/>
    <w:rsid w:val="0A3203C5"/>
    <w:rsid w:val="0A492424"/>
    <w:rsid w:val="0A515E9F"/>
    <w:rsid w:val="0A5D2339"/>
    <w:rsid w:val="0AD82019"/>
    <w:rsid w:val="0AE47427"/>
    <w:rsid w:val="0AF12F01"/>
    <w:rsid w:val="0B0362DC"/>
    <w:rsid w:val="0B12013A"/>
    <w:rsid w:val="0B1D253D"/>
    <w:rsid w:val="0B3259E2"/>
    <w:rsid w:val="0B3D3C2F"/>
    <w:rsid w:val="0B404CE1"/>
    <w:rsid w:val="0B470467"/>
    <w:rsid w:val="0B55380B"/>
    <w:rsid w:val="0B5F1776"/>
    <w:rsid w:val="0B93744C"/>
    <w:rsid w:val="0BB0429A"/>
    <w:rsid w:val="0BD50E6F"/>
    <w:rsid w:val="0BDE36C2"/>
    <w:rsid w:val="0BFF5FC6"/>
    <w:rsid w:val="0C394019"/>
    <w:rsid w:val="0C5D35AC"/>
    <w:rsid w:val="0CD11C9B"/>
    <w:rsid w:val="0CEB7462"/>
    <w:rsid w:val="0D7507A0"/>
    <w:rsid w:val="0DAD28F2"/>
    <w:rsid w:val="0DBF2366"/>
    <w:rsid w:val="0DF45B03"/>
    <w:rsid w:val="0DFA4AE4"/>
    <w:rsid w:val="0E25710B"/>
    <w:rsid w:val="0E592030"/>
    <w:rsid w:val="0E82639D"/>
    <w:rsid w:val="0E984053"/>
    <w:rsid w:val="0E9B52D6"/>
    <w:rsid w:val="0EAB7118"/>
    <w:rsid w:val="0EB167DB"/>
    <w:rsid w:val="0EC46F3D"/>
    <w:rsid w:val="0EDF2F3E"/>
    <w:rsid w:val="0EFE11ED"/>
    <w:rsid w:val="0F002A58"/>
    <w:rsid w:val="0F1E27D0"/>
    <w:rsid w:val="0F224D89"/>
    <w:rsid w:val="0F476374"/>
    <w:rsid w:val="0F8F3C26"/>
    <w:rsid w:val="0F9936AB"/>
    <w:rsid w:val="0FCD4412"/>
    <w:rsid w:val="0FDB491F"/>
    <w:rsid w:val="0FEA5C1B"/>
    <w:rsid w:val="10085146"/>
    <w:rsid w:val="10137061"/>
    <w:rsid w:val="103B7FDB"/>
    <w:rsid w:val="105A5213"/>
    <w:rsid w:val="10997F43"/>
    <w:rsid w:val="10AE34FB"/>
    <w:rsid w:val="10CA7DAD"/>
    <w:rsid w:val="10D626A1"/>
    <w:rsid w:val="10DE7BAE"/>
    <w:rsid w:val="10EC4A65"/>
    <w:rsid w:val="10FB7D54"/>
    <w:rsid w:val="11107760"/>
    <w:rsid w:val="1146775F"/>
    <w:rsid w:val="11543C70"/>
    <w:rsid w:val="11F6514D"/>
    <w:rsid w:val="120774A3"/>
    <w:rsid w:val="122F64A8"/>
    <w:rsid w:val="12580C13"/>
    <w:rsid w:val="125A6B2E"/>
    <w:rsid w:val="125E729B"/>
    <w:rsid w:val="12891B41"/>
    <w:rsid w:val="12B55E5B"/>
    <w:rsid w:val="13164F7E"/>
    <w:rsid w:val="131B1088"/>
    <w:rsid w:val="1324551B"/>
    <w:rsid w:val="136364AA"/>
    <w:rsid w:val="137763DF"/>
    <w:rsid w:val="139635B6"/>
    <w:rsid w:val="13A97D70"/>
    <w:rsid w:val="13AF5189"/>
    <w:rsid w:val="13BB47A0"/>
    <w:rsid w:val="13D97C8F"/>
    <w:rsid w:val="14006D19"/>
    <w:rsid w:val="143E669E"/>
    <w:rsid w:val="144C6C6D"/>
    <w:rsid w:val="1481754F"/>
    <w:rsid w:val="148B58CA"/>
    <w:rsid w:val="148F5721"/>
    <w:rsid w:val="149B53EC"/>
    <w:rsid w:val="14AC57CD"/>
    <w:rsid w:val="14B44EB0"/>
    <w:rsid w:val="14D86281"/>
    <w:rsid w:val="153A6EF0"/>
    <w:rsid w:val="1545777C"/>
    <w:rsid w:val="15514962"/>
    <w:rsid w:val="15ED3E9B"/>
    <w:rsid w:val="164514BE"/>
    <w:rsid w:val="16701559"/>
    <w:rsid w:val="16E1640F"/>
    <w:rsid w:val="170F06AA"/>
    <w:rsid w:val="1712416B"/>
    <w:rsid w:val="17225508"/>
    <w:rsid w:val="177A53BF"/>
    <w:rsid w:val="17957C1D"/>
    <w:rsid w:val="17B46D21"/>
    <w:rsid w:val="17B739EE"/>
    <w:rsid w:val="17BD4825"/>
    <w:rsid w:val="180A6E32"/>
    <w:rsid w:val="18122616"/>
    <w:rsid w:val="181A523F"/>
    <w:rsid w:val="183F2CD2"/>
    <w:rsid w:val="1856323E"/>
    <w:rsid w:val="18842E53"/>
    <w:rsid w:val="18AF55E3"/>
    <w:rsid w:val="18B1519A"/>
    <w:rsid w:val="18C35559"/>
    <w:rsid w:val="18CD0507"/>
    <w:rsid w:val="18DD3CE7"/>
    <w:rsid w:val="18DF10CA"/>
    <w:rsid w:val="18EF08D0"/>
    <w:rsid w:val="191E67B0"/>
    <w:rsid w:val="19534C83"/>
    <w:rsid w:val="19561473"/>
    <w:rsid w:val="195D7D48"/>
    <w:rsid w:val="1A16096E"/>
    <w:rsid w:val="1A332787"/>
    <w:rsid w:val="1A8264EB"/>
    <w:rsid w:val="1A9B362F"/>
    <w:rsid w:val="1AAE4BD8"/>
    <w:rsid w:val="1AD01A1B"/>
    <w:rsid w:val="1AFA5806"/>
    <w:rsid w:val="1B476E19"/>
    <w:rsid w:val="1B61065A"/>
    <w:rsid w:val="1B68181B"/>
    <w:rsid w:val="1BBF3927"/>
    <w:rsid w:val="1BC26D2A"/>
    <w:rsid w:val="1C023E5D"/>
    <w:rsid w:val="1C177B08"/>
    <w:rsid w:val="1C636F57"/>
    <w:rsid w:val="1C6A41A0"/>
    <w:rsid w:val="1C8E204E"/>
    <w:rsid w:val="1C8F420B"/>
    <w:rsid w:val="1C9001C6"/>
    <w:rsid w:val="1C9B13AE"/>
    <w:rsid w:val="1CB45251"/>
    <w:rsid w:val="1CBA2101"/>
    <w:rsid w:val="1CC620D5"/>
    <w:rsid w:val="1CD06ECF"/>
    <w:rsid w:val="1CF654FF"/>
    <w:rsid w:val="1D0573D7"/>
    <w:rsid w:val="1D153DC4"/>
    <w:rsid w:val="1D223E0B"/>
    <w:rsid w:val="1D310B82"/>
    <w:rsid w:val="1D5B134F"/>
    <w:rsid w:val="1D865843"/>
    <w:rsid w:val="1DA32E77"/>
    <w:rsid w:val="1DC567B6"/>
    <w:rsid w:val="1DF47B72"/>
    <w:rsid w:val="1E132F88"/>
    <w:rsid w:val="1E2867E9"/>
    <w:rsid w:val="1E3F2838"/>
    <w:rsid w:val="1E606A2E"/>
    <w:rsid w:val="1E853F6F"/>
    <w:rsid w:val="1E9C7BCC"/>
    <w:rsid w:val="1EB03052"/>
    <w:rsid w:val="1EB73DF5"/>
    <w:rsid w:val="1EB86F8B"/>
    <w:rsid w:val="1EBA11E9"/>
    <w:rsid w:val="1EC41A9B"/>
    <w:rsid w:val="1ECC1E3C"/>
    <w:rsid w:val="1EF86172"/>
    <w:rsid w:val="1F007F38"/>
    <w:rsid w:val="1F235A2B"/>
    <w:rsid w:val="1F2430F7"/>
    <w:rsid w:val="1F3A1E2A"/>
    <w:rsid w:val="1F443425"/>
    <w:rsid w:val="1F4D3159"/>
    <w:rsid w:val="1F897D71"/>
    <w:rsid w:val="1F8E6565"/>
    <w:rsid w:val="1FA70EB4"/>
    <w:rsid w:val="1FBF0E1E"/>
    <w:rsid w:val="1FBF78D9"/>
    <w:rsid w:val="1FCA1EA0"/>
    <w:rsid w:val="200E61D2"/>
    <w:rsid w:val="20906282"/>
    <w:rsid w:val="209614BF"/>
    <w:rsid w:val="20C4079D"/>
    <w:rsid w:val="20DF6C5A"/>
    <w:rsid w:val="20F62D56"/>
    <w:rsid w:val="20F72741"/>
    <w:rsid w:val="21014C39"/>
    <w:rsid w:val="21045DF0"/>
    <w:rsid w:val="21244EB1"/>
    <w:rsid w:val="212B5A66"/>
    <w:rsid w:val="21336848"/>
    <w:rsid w:val="213964D8"/>
    <w:rsid w:val="21595D04"/>
    <w:rsid w:val="21693A05"/>
    <w:rsid w:val="21B10661"/>
    <w:rsid w:val="21B32AFC"/>
    <w:rsid w:val="21F13629"/>
    <w:rsid w:val="222B6A9C"/>
    <w:rsid w:val="222D3AB8"/>
    <w:rsid w:val="224A37E3"/>
    <w:rsid w:val="225A6200"/>
    <w:rsid w:val="227A1549"/>
    <w:rsid w:val="22A9180E"/>
    <w:rsid w:val="22BF4FB1"/>
    <w:rsid w:val="22D549A1"/>
    <w:rsid w:val="22DC3186"/>
    <w:rsid w:val="22DD3A0A"/>
    <w:rsid w:val="22F463DA"/>
    <w:rsid w:val="22FA5A5F"/>
    <w:rsid w:val="2305377E"/>
    <w:rsid w:val="23217062"/>
    <w:rsid w:val="235D0BB6"/>
    <w:rsid w:val="23775924"/>
    <w:rsid w:val="2395158B"/>
    <w:rsid w:val="23A932F4"/>
    <w:rsid w:val="23C62395"/>
    <w:rsid w:val="23F01452"/>
    <w:rsid w:val="23F3704C"/>
    <w:rsid w:val="23F51D23"/>
    <w:rsid w:val="24051187"/>
    <w:rsid w:val="24122135"/>
    <w:rsid w:val="243F3BA0"/>
    <w:rsid w:val="24D4257E"/>
    <w:rsid w:val="24D61C00"/>
    <w:rsid w:val="254F0F7E"/>
    <w:rsid w:val="255E256B"/>
    <w:rsid w:val="256423B3"/>
    <w:rsid w:val="2572202B"/>
    <w:rsid w:val="258E2805"/>
    <w:rsid w:val="25CE627E"/>
    <w:rsid w:val="25F84C25"/>
    <w:rsid w:val="2605683C"/>
    <w:rsid w:val="26BB1419"/>
    <w:rsid w:val="26C6024F"/>
    <w:rsid w:val="26CE6F15"/>
    <w:rsid w:val="26D27DA7"/>
    <w:rsid w:val="26E223A8"/>
    <w:rsid w:val="26E64FD6"/>
    <w:rsid w:val="26FE5D9D"/>
    <w:rsid w:val="27347B80"/>
    <w:rsid w:val="27730A9F"/>
    <w:rsid w:val="279247E3"/>
    <w:rsid w:val="27B748AA"/>
    <w:rsid w:val="27CB4CB9"/>
    <w:rsid w:val="27E00006"/>
    <w:rsid w:val="281C2F58"/>
    <w:rsid w:val="28297C0D"/>
    <w:rsid w:val="283C77E4"/>
    <w:rsid w:val="286E6BA4"/>
    <w:rsid w:val="28770CA5"/>
    <w:rsid w:val="28A26F43"/>
    <w:rsid w:val="28B642CF"/>
    <w:rsid w:val="291951AF"/>
    <w:rsid w:val="295A0D64"/>
    <w:rsid w:val="29634C68"/>
    <w:rsid w:val="29642C4B"/>
    <w:rsid w:val="29D066E4"/>
    <w:rsid w:val="2A162506"/>
    <w:rsid w:val="2A34628C"/>
    <w:rsid w:val="2A521949"/>
    <w:rsid w:val="2A573B12"/>
    <w:rsid w:val="2A5D25D7"/>
    <w:rsid w:val="2A724D05"/>
    <w:rsid w:val="2A7E505C"/>
    <w:rsid w:val="2A822B7A"/>
    <w:rsid w:val="2A8B5813"/>
    <w:rsid w:val="2AC85686"/>
    <w:rsid w:val="2AD04B5F"/>
    <w:rsid w:val="2AD53F89"/>
    <w:rsid w:val="2ADA3868"/>
    <w:rsid w:val="2B303323"/>
    <w:rsid w:val="2B4171D4"/>
    <w:rsid w:val="2B4E7DFD"/>
    <w:rsid w:val="2B6E7994"/>
    <w:rsid w:val="2B9D475C"/>
    <w:rsid w:val="2BAB1E52"/>
    <w:rsid w:val="2BC05B2C"/>
    <w:rsid w:val="2BD54130"/>
    <w:rsid w:val="2BD617C5"/>
    <w:rsid w:val="2BDE2000"/>
    <w:rsid w:val="2C112837"/>
    <w:rsid w:val="2C1834EC"/>
    <w:rsid w:val="2C287192"/>
    <w:rsid w:val="2C2F3C92"/>
    <w:rsid w:val="2C3F520C"/>
    <w:rsid w:val="2C4362DE"/>
    <w:rsid w:val="2C4F0070"/>
    <w:rsid w:val="2C6A04E1"/>
    <w:rsid w:val="2C747BF3"/>
    <w:rsid w:val="2CA93572"/>
    <w:rsid w:val="2CCF7E1B"/>
    <w:rsid w:val="2CD44256"/>
    <w:rsid w:val="2CE40D90"/>
    <w:rsid w:val="2D9524CD"/>
    <w:rsid w:val="2DA314F3"/>
    <w:rsid w:val="2DA31820"/>
    <w:rsid w:val="2DE901B8"/>
    <w:rsid w:val="2E014790"/>
    <w:rsid w:val="2E0265C0"/>
    <w:rsid w:val="2E505D95"/>
    <w:rsid w:val="2E6B5B0D"/>
    <w:rsid w:val="2E837BE2"/>
    <w:rsid w:val="2E85341A"/>
    <w:rsid w:val="2E901001"/>
    <w:rsid w:val="2EAC7B4E"/>
    <w:rsid w:val="2EB32811"/>
    <w:rsid w:val="2EB61695"/>
    <w:rsid w:val="2ED746D8"/>
    <w:rsid w:val="2EE51747"/>
    <w:rsid w:val="2EE77680"/>
    <w:rsid w:val="2F2C5823"/>
    <w:rsid w:val="2F2F0FC8"/>
    <w:rsid w:val="2F335529"/>
    <w:rsid w:val="2F3513A0"/>
    <w:rsid w:val="2F6876F1"/>
    <w:rsid w:val="2F8C6748"/>
    <w:rsid w:val="2F9F0267"/>
    <w:rsid w:val="2FC1649F"/>
    <w:rsid w:val="2FF10824"/>
    <w:rsid w:val="2FF75FE6"/>
    <w:rsid w:val="301C6BB6"/>
    <w:rsid w:val="305B7A07"/>
    <w:rsid w:val="30723652"/>
    <w:rsid w:val="30855869"/>
    <w:rsid w:val="30FD56D5"/>
    <w:rsid w:val="3109107F"/>
    <w:rsid w:val="31326533"/>
    <w:rsid w:val="3182759F"/>
    <w:rsid w:val="319708F2"/>
    <w:rsid w:val="31B14C9E"/>
    <w:rsid w:val="31B3350F"/>
    <w:rsid w:val="31B41403"/>
    <w:rsid w:val="31D74655"/>
    <w:rsid w:val="323D19AE"/>
    <w:rsid w:val="32495BBC"/>
    <w:rsid w:val="32961319"/>
    <w:rsid w:val="32A4428B"/>
    <w:rsid w:val="32C037AB"/>
    <w:rsid w:val="32D74951"/>
    <w:rsid w:val="336D7F54"/>
    <w:rsid w:val="33741E08"/>
    <w:rsid w:val="33890D6D"/>
    <w:rsid w:val="33A1540D"/>
    <w:rsid w:val="33B17A99"/>
    <w:rsid w:val="33C522D7"/>
    <w:rsid w:val="33CF702B"/>
    <w:rsid w:val="33D92C52"/>
    <w:rsid w:val="34296C7E"/>
    <w:rsid w:val="34807672"/>
    <w:rsid w:val="34AC3378"/>
    <w:rsid w:val="351457B8"/>
    <w:rsid w:val="35221C56"/>
    <w:rsid w:val="354C13E3"/>
    <w:rsid w:val="35B06C6A"/>
    <w:rsid w:val="35B82CEB"/>
    <w:rsid w:val="35C636D1"/>
    <w:rsid w:val="35D03CD9"/>
    <w:rsid w:val="36290AA7"/>
    <w:rsid w:val="363B548F"/>
    <w:rsid w:val="3647714E"/>
    <w:rsid w:val="367C3050"/>
    <w:rsid w:val="36941AA2"/>
    <w:rsid w:val="36D37423"/>
    <w:rsid w:val="36D86F16"/>
    <w:rsid w:val="36EA46F8"/>
    <w:rsid w:val="370A097A"/>
    <w:rsid w:val="37306169"/>
    <w:rsid w:val="37357CFE"/>
    <w:rsid w:val="37725DC3"/>
    <w:rsid w:val="379D23F9"/>
    <w:rsid w:val="37D17E7D"/>
    <w:rsid w:val="37D262BC"/>
    <w:rsid w:val="37DF1BA3"/>
    <w:rsid w:val="38051A14"/>
    <w:rsid w:val="380A5A57"/>
    <w:rsid w:val="3843268F"/>
    <w:rsid w:val="38956C32"/>
    <w:rsid w:val="38BB7D91"/>
    <w:rsid w:val="38FD559B"/>
    <w:rsid w:val="391D2F50"/>
    <w:rsid w:val="393D3267"/>
    <w:rsid w:val="39560E06"/>
    <w:rsid w:val="399739F3"/>
    <w:rsid w:val="39B63D38"/>
    <w:rsid w:val="39C301BA"/>
    <w:rsid w:val="39FC47AD"/>
    <w:rsid w:val="39FE6ACF"/>
    <w:rsid w:val="3A063354"/>
    <w:rsid w:val="3A185287"/>
    <w:rsid w:val="3A1F46B8"/>
    <w:rsid w:val="3A5870B7"/>
    <w:rsid w:val="3A692CD0"/>
    <w:rsid w:val="3AA415BF"/>
    <w:rsid w:val="3AC316C6"/>
    <w:rsid w:val="3ACC187E"/>
    <w:rsid w:val="3B143055"/>
    <w:rsid w:val="3B162623"/>
    <w:rsid w:val="3B270929"/>
    <w:rsid w:val="3B2D37B8"/>
    <w:rsid w:val="3B38029B"/>
    <w:rsid w:val="3B3D5571"/>
    <w:rsid w:val="3B673620"/>
    <w:rsid w:val="3B9A1F29"/>
    <w:rsid w:val="3BDF3F54"/>
    <w:rsid w:val="3C513060"/>
    <w:rsid w:val="3C6748FD"/>
    <w:rsid w:val="3CCF4706"/>
    <w:rsid w:val="3CE4646B"/>
    <w:rsid w:val="3D143447"/>
    <w:rsid w:val="3D220BB0"/>
    <w:rsid w:val="3D3319A1"/>
    <w:rsid w:val="3D3F0B3D"/>
    <w:rsid w:val="3D4132A2"/>
    <w:rsid w:val="3D555928"/>
    <w:rsid w:val="3D5E7AA8"/>
    <w:rsid w:val="3D6F2596"/>
    <w:rsid w:val="3D831216"/>
    <w:rsid w:val="3D8E2153"/>
    <w:rsid w:val="3DBC2AAF"/>
    <w:rsid w:val="3DD5257F"/>
    <w:rsid w:val="3DF74FA8"/>
    <w:rsid w:val="3E0F0FBD"/>
    <w:rsid w:val="3E2064A3"/>
    <w:rsid w:val="3E704C35"/>
    <w:rsid w:val="3ED5235A"/>
    <w:rsid w:val="3F105036"/>
    <w:rsid w:val="3F292EC9"/>
    <w:rsid w:val="3F2F438E"/>
    <w:rsid w:val="3F405255"/>
    <w:rsid w:val="3F430A34"/>
    <w:rsid w:val="3FAB4A68"/>
    <w:rsid w:val="4058037A"/>
    <w:rsid w:val="405F175E"/>
    <w:rsid w:val="406E360E"/>
    <w:rsid w:val="408A58E4"/>
    <w:rsid w:val="408E1DF5"/>
    <w:rsid w:val="40C22B8E"/>
    <w:rsid w:val="40C765F3"/>
    <w:rsid w:val="41003600"/>
    <w:rsid w:val="410F4941"/>
    <w:rsid w:val="412E3F32"/>
    <w:rsid w:val="4180261C"/>
    <w:rsid w:val="41B35097"/>
    <w:rsid w:val="41C41CB7"/>
    <w:rsid w:val="41C5100F"/>
    <w:rsid w:val="420C00ED"/>
    <w:rsid w:val="42512634"/>
    <w:rsid w:val="4253517C"/>
    <w:rsid w:val="425456B1"/>
    <w:rsid w:val="42A471D8"/>
    <w:rsid w:val="42D0328F"/>
    <w:rsid w:val="42F869D2"/>
    <w:rsid w:val="431505AE"/>
    <w:rsid w:val="43214064"/>
    <w:rsid w:val="43296C81"/>
    <w:rsid w:val="43553536"/>
    <w:rsid w:val="438725B9"/>
    <w:rsid w:val="43992CB7"/>
    <w:rsid w:val="43C273A3"/>
    <w:rsid w:val="43DB1CDA"/>
    <w:rsid w:val="43DE01A0"/>
    <w:rsid w:val="43E529F0"/>
    <w:rsid w:val="43EE32C2"/>
    <w:rsid w:val="44027745"/>
    <w:rsid w:val="440912AB"/>
    <w:rsid w:val="440D58DC"/>
    <w:rsid w:val="444C5F5A"/>
    <w:rsid w:val="448F338E"/>
    <w:rsid w:val="44955526"/>
    <w:rsid w:val="44972678"/>
    <w:rsid w:val="44A7620C"/>
    <w:rsid w:val="451632B9"/>
    <w:rsid w:val="452F03E3"/>
    <w:rsid w:val="45413C49"/>
    <w:rsid w:val="4569196E"/>
    <w:rsid w:val="456E52FD"/>
    <w:rsid w:val="458C6EC9"/>
    <w:rsid w:val="45906394"/>
    <w:rsid w:val="45A32DEE"/>
    <w:rsid w:val="45F60A50"/>
    <w:rsid w:val="46142D0C"/>
    <w:rsid w:val="46970A81"/>
    <w:rsid w:val="469C3613"/>
    <w:rsid w:val="46B036BF"/>
    <w:rsid w:val="46B35FDA"/>
    <w:rsid w:val="46DA19CB"/>
    <w:rsid w:val="46E334CC"/>
    <w:rsid w:val="46FE2800"/>
    <w:rsid w:val="471B2EC9"/>
    <w:rsid w:val="47282363"/>
    <w:rsid w:val="47751F70"/>
    <w:rsid w:val="47CE3605"/>
    <w:rsid w:val="47F70B75"/>
    <w:rsid w:val="480B4720"/>
    <w:rsid w:val="48461049"/>
    <w:rsid w:val="484E21F0"/>
    <w:rsid w:val="485B2837"/>
    <w:rsid w:val="486D532A"/>
    <w:rsid w:val="489459F4"/>
    <w:rsid w:val="48A15E4C"/>
    <w:rsid w:val="490657F2"/>
    <w:rsid w:val="49115F99"/>
    <w:rsid w:val="494E3DE1"/>
    <w:rsid w:val="49634756"/>
    <w:rsid w:val="4974392E"/>
    <w:rsid w:val="49BD712F"/>
    <w:rsid w:val="49D63BB5"/>
    <w:rsid w:val="49DC4EAC"/>
    <w:rsid w:val="49E55BC5"/>
    <w:rsid w:val="4A100D0C"/>
    <w:rsid w:val="4A154D06"/>
    <w:rsid w:val="4A1B6421"/>
    <w:rsid w:val="4A3C0D52"/>
    <w:rsid w:val="4A3C5FDE"/>
    <w:rsid w:val="4A885695"/>
    <w:rsid w:val="4A8A79D5"/>
    <w:rsid w:val="4A8E6337"/>
    <w:rsid w:val="4A9970BB"/>
    <w:rsid w:val="4ABC0AD1"/>
    <w:rsid w:val="4B0B4158"/>
    <w:rsid w:val="4B270924"/>
    <w:rsid w:val="4B402DF3"/>
    <w:rsid w:val="4B405893"/>
    <w:rsid w:val="4B47370D"/>
    <w:rsid w:val="4B6A544B"/>
    <w:rsid w:val="4BC34494"/>
    <w:rsid w:val="4BC55EF3"/>
    <w:rsid w:val="4BD85564"/>
    <w:rsid w:val="4BE2120B"/>
    <w:rsid w:val="4BEE5A69"/>
    <w:rsid w:val="4C1C63D6"/>
    <w:rsid w:val="4C366ECE"/>
    <w:rsid w:val="4C43089F"/>
    <w:rsid w:val="4C574379"/>
    <w:rsid w:val="4C864A35"/>
    <w:rsid w:val="4CB368F6"/>
    <w:rsid w:val="4D3229FD"/>
    <w:rsid w:val="4D434EB5"/>
    <w:rsid w:val="4D531F1A"/>
    <w:rsid w:val="4D7F78DB"/>
    <w:rsid w:val="4D8740E3"/>
    <w:rsid w:val="4DA54325"/>
    <w:rsid w:val="4DF008B5"/>
    <w:rsid w:val="4E015C76"/>
    <w:rsid w:val="4E310026"/>
    <w:rsid w:val="4E4A2325"/>
    <w:rsid w:val="4E886D5F"/>
    <w:rsid w:val="4EAC4E6D"/>
    <w:rsid w:val="4ED05938"/>
    <w:rsid w:val="4EE26F97"/>
    <w:rsid w:val="4EE768A4"/>
    <w:rsid w:val="4EF13342"/>
    <w:rsid w:val="4F0E20EB"/>
    <w:rsid w:val="4F7E7FBA"/>
    <w:rsid w:val="4F872266"/>
    <w:rsid w:val="4F970F68"/>
    <w:rsid w:val="4FA16667"/>
    <w:rsid w:val="4FA40EAE"/>
    <w:rsid w:val="4FED506B"/>
    <w:rsid w:val="4FF44B27"/>
    <w:rsid w:val="501A6C55"/>
    <w:rsid w:val="502B1B43"/>
    <w:rsid w:val="502B6BFE"/>
    <w:rsid w:val="509F33D4"/>
    <w:rsid w:val="50BF3DCF"/>
    <w:rsid w:val="50C535A8"/>
    <w:rsid w:val="50D510F8"/>
    <w:rsid w:val="512143F1"/>
    <w:rsid w:val="515155E8"/>
    <w:rsid w:val="5168229B"/>
    <w:rsid w:val="516F5C3B"/>
    <w:rsid w:val="51B14BED"/>
    <w:rsid w:val="51D53EE1"/>
    <w:rsid w:val="51E7082C"/>
    <w:rsid w:val="51F92E24"/>
    <w:rsid w:val="52101974"/>
    <w:rsid w:val="52526454"/>
    <w:rsid w:val="525C1CEF"/>
    <w:rsid w:val="52632F70"/>
    <w:rsid w:val="526F2A27"/>
    <w:rsid w:val="528B5767"/>
    <w:rsid w:val="52992FE9"/>
    <w:rsid w:val="529C69A9"/>
    <w:rsid w:val="52A77D4F"/>
    <w:rsid w:val="52D33625"/>
    <w:rsid w:val="52E16F01"/>
    <w:rsid w:val="53834F0E"/>
    <w:rsid w:val="53A3105E"/>
    <w:rsid w:val="53A97988"/>
    <w:rsid w:val="53AB1F93"/>
    <w:rsid w:val="53AB2FC5"/>
    <w:rsid w:val="53C64B93"/>
    <w:rsid w:val="540431FD"/>
    <w:rsid w:val="54202601"/>
    <w:rsid w:val="54372368"/>
    <w:rsid w:val="544650A1"/>
    <w:rsid w:val="54592BF4"/>
    <w:rsid w:val="548A6C60"/>
    <w:rsid w:val="548C1286"/>
    <w:rsid w:val="54C57175"/>
    <w:rsid w:val="55075E18"/>
    <w:rsid w:val="550B2609"/>
    <w:rsid w:val="552C79D0"/>
    <w:rsid w:val="55420F84"/>
    <w:rsid w:val="555E3423"/>
    <w:rsid w:val="55AC0FA0"/>
    <w:rsid w:val="55B1164D"/>
    <w:rsid w:val="55B4735E"/>
    <w:rsid w:val="55BB221D"/>
    <w:rsid w:val="5612283D"/>
    <w:rsid w:val="56371459"/>
    <w:rsid w:val="563E23DC"/>
    <w:rsid w:val="563F4AF1"/>
    <w:rsid w:val="56484633"/>
    <w:rsid w:val="56602203"/>
    <w:rsid w:val="56654901"/>
    <w:rsid w:val="566C4DB4"/>
    <w:rsid w:val="56971701"/>
    <w:rsid w:val="56D336C9"/>
    <w:rsid w:val="572C324C"/>
    <w:rsid w:val="576A3B72"/>
    <w:rsid w:val="58032834"/>
    <w:rsid w:val="583724CE"/>
    <w:rsid w:val="58520C5C"/>
    <w:rsid w:val="585D3595"/>
    <w:rsid w:val="588772C5"/>
    <w:rsid w:val="58A9560C"/>
    <w:rsid w:val="58AC5BCF"/>
    <w:rsid w:val="58CF29FE"/>
    <w:rsid w:val="58D0053D"/>
    <w:rsid w:val="58E572F2"/>
    <w:rsid w:val="590525A9"/>
    <w:rsid w:val="595E268E"/>
    <w:rsid w:val="598C40A0"/>
    <w:rsid w:val="59A51EB7"/>
    <w:rsid w:val="59A63B01"/>
    <w:rsid w:val="59DA647E"/>
    <w:rsid w:val="59E55513"/>
    <w:rsid w:val="5A556E1A"/>
    <w:rsid w:val="5A9719F9"/>
    <w:rsid w:val="5AAE408E"/>
    <w:rsid w:val="5AE222FE"/>
    <w:rsid w:val="5AF17C5E"/>
    <w:rsid w:val="5B186053"/>
    <w:rsid w:val="5B1F1766"/>
    <w:rsid w:val="5B3507ED"/>
    <w:rsid w:val="5B3A3ADF"/>
    <w:rsid w:val="5B544553"/>
    <w:rsid w:val="5B7A6D7C"/>
    <w:rsid w:val="5B86794A"/>
    <w:rsid w:val="5BFD2087"/>
    <w:rsid w:val="5C045CB6"/>
    <w:rsid w:val="5C1166E3"/>
    <w:rsid w:val="5C4C3758"/>
    <w:rsid w:val="5C7C3F8C"/>
    <w:rsid w:val="5CDD02C3"/>
    <w:rsid w:val="5CDF3DF4"/>
    <w:rsid w:val="5CFB5F5D"/>
    <w:rsid w:val="5D012BE4"/>
    <w:rsid w:val="5D342677"/>
    <w:rsid w:val="5D5B0957"/>
    <w:rsid w:val="5D5E02CC"/>
    <w:rsid w:val="5D6578B9"/>
    <w:rsid w:val="5DD83CD1"/>
    <w:rsid w:val="5E2864D0"/>
    <w:rsid w:val="5E494511"/>
    <w:rsid w:val="5E8419B3"/>
    <w:rsid w:val="5EB40CAF"/>
    <w:rsid w:val="5EB44FC0"/>
    <w:rsid w:val="5ED3232A"/>
    <w:rsid w:val="5ED812D5"/>
    <w:rsid w:val="5F12540C"/>
    <w:rsid w:val="5F4F7393"/>
    <w:rsid w:val="5FBA395F"/>
    <w:rsid w:val="5FE77ACD"/>
    <w:rsid w:val="5FF50E41"/>
    <w:rsid w:val="601A26C3"/>
    <w:rsid w:val="60297773"/>
    <w:rsid w:val="608E53B7"/>
    <w:rsid w:val="60916E58"/>
    <w:rsid w:val="60B37C9A"/>
    <w:rsid w:val="60CD074D"/>
    <w:rsid w:val="60D833DA"/>
    <w:rsid w:val="60D93336"/>
    <w:rsid w:val="60DD07C1"/>
    <w:rsid w:val="60EC2CBA"/>
    <w:rsid w:val="60F535F1"/>
    <w:rsid w:val="61022CBB"/>
    <w:rsid w:val="61262A53"/>
    <w:rsid w:val="61607F64"/>
    <w:rsid w:val="61693B1A"/>
    <w:rsid w:val="616F2277"/>
    <w:rsid w:val="618532CB"/>
    <w:rsid w:val="61CC2D28"/>
    <w:rsid w:val="61FB3B3C"/>
    <w:rsid w:val="62827B18"/>
    <w:rsid w:val="62D01811"/>
    <w:rsid w:val="62E57712"/>
    <w:rsid w:val="62EF60E6"/>
    <w:rsid w:val="630C63B9"/>
    <w:rsid w:val="63231C55"/>
    <w:rsid w:val="635902CD"/>
    <w:rsid w:val="636810D4"/>
    <w:rsid w:val="63C27E68"/>
    <w:rsid w:val="63CC1082"/>
    <w:rsid w:val="63EA2534"/>
    <w:rsid w:val="640256B4"/>
    <w:rsid w:val="64706BBE"/>
    <w:rsid w:val="64771097"/>
    <w:rsid w:val="649D5FB4"/>
    <w:rsid w:val="64C1718B"/>
    <w:rsid w:val="64DF7FA4"/>
    <w:rsid w:val="64E65D23"/>
    <w:rsid w:val="64F2095B"/>
    <w:rsid w:val="657A225C"/>
    <w:rsid w:val="65D63F94"/>
    <w:rsid w:val="66112BA8"/>
    <w:rsid w:val="663C3261"/>
    <w:rsid w:val="665244EE"/>
    <w:rsid w:val="66547455"/>
    <w:rsid w:val="666821B2"/>
    <w:rsid w:val="667256C6"/>
    <w:rsid w:val="669441EC"/>
    <w:rsid w:val="66A13B7D"/>
    <w:rsid w:val="67052D52"/>
    <w:rsid w:val="67215215"/>
    <w:rsid w:val="673A24A9"/>
    <w:rsid w:val="6797706E"/>
    <w:rsid w:val="67A858DB"/>
    <w:rsid w:val="67C35E26"/>
    <w:rsid w:val="67FE4166"/>
    <w:rsid w:val="68067BA8"/>
    <w:rsid w:val="684A4FA7"/>
    <w:rsid w:val="689F6503"/>
    <w:rsid w:val="68A25EC5"/>
    <w:rsid w:val="68C401C3"/>
    <w:rsid w:val="68CF7022"/>
    <w:rsid w:val="695F5461"/>
    <w:rsid w:val="698620E7"/>
    <w:rsid w:val="69A833BD"/>
    <w:rsid w:val="6A5205A5"/>
    <w:rsid w:val="6A605FCB"/>
    <w:rsid w:val="6A71067F"/>
    <w:rsid w:val="6A9E09B4"/>
    <w:rsid w:val="6ABA507E"/>
    <w:rsid w:val="6AE92C7A"/>
    <w:rsid w:val="6B0D2786"/>
    <w:rsid w:val="6B9A5BF6"/>
    <w:rsid w:val="6BEA62A9"/>
    <w:rsid w:val="6C160C71"/>
    <w:rsid w:val="6C2C3570"/>
    <w:rsid w:val="6C4618F1"/>
    <w:rsid w:val="6C9A1C89"/>
    <w:rsid w:val="6C9B2B44"/>
    <w:rsid w:val="6CB01D8D"/>
    <w:rsid w:val="6CC50F62"/>
    <w:rsid w:val="6CCE0C62"/>
    <w:rsid w:val="6CDC0A79"/>
    <w:rsid w:val="6CDE4301"/>
    <w:rsid w:val="6CFC54DE"/>
    <w:rsid w:val="6D542C72"/>
    <w:rsid w:val="6D566F0F"/>
    <w:rsid w:val="6D836F72"/>
    <w:rsid w:val="6DB5196D"/>
    <w:rsid w:val="6DD4039C"/>
    <w:rsid w:val="6DD65470"/>
    <w:rsid w:val="6DDE3DAF"/>
    <w:rsid w:val="6E075DFA"/>
    <w:rsid w:val="6E0B2FFD"/>
    <w:rsid w:val="6E1B1B78"/>
    <w:rsid w:val="6E3241BE"/>
    <w:rsid w:val="6E38130F"/>
    <w:rsid w:val="6E506FD4"/>
    <w:rsid w:val="6E6724F8"/>
    <w:rsid w:val="6E9D50CB"/>
    <w:rsid w:val="6EB97A9D"/>
    <w:rsid w:val="6EF10A90"/>
    <w:rsid w:val="6EFA2592"/>
    <w:rsid w:val="6EFD6900"/>
    <w:rsid w:val="6F1205CF"/>
    <w:rsid w:val="6F194A2B"/>
    <w:rsid w:val="6F4E0376"/>
    <w:rsid w:val="6F557445"/>
    <w:rsid w:val="6F6B4041"/>
    <w:rsid w:val="6FCA4852"/>
    <w:rsid w:val="6FD41F8C"/>
    <w:rsid w:val="6FEE357B"/>
    <w:rsid w:val="6FEF5A6C"/>
    <w:rsid w:val="6FFF1868"/>
    <w:rsid w:val="70193705"/>
    <w:rsid w:val="701F0C4A"/>
    <w:rsid w:val="70201CF7"/>
    <w:rsid w:val="70473ADC"/>
    <w:rsid w:val="70590A75"/>
    <w:rsid w:val="706F591E"/>
    <w:rsid w:val="70851669"/>
    <w:rsid w:val="70D40EDE"/>
    <w:rsid w:val="715F4C2D"/>
    <w:rsid w:val="718F6D87"/>
    <w:rsid w:val="71C5796E"/>
    <w:rsid w:val="71F62FD4"/>
    <w:rsid w:val="722F78FB"/>
    <w:rsid w:val="723D67C5"/>
    <w:rsid w:val="726317C1"/>
    <w:rsid w:val="726F6ED4"/>
    <w:rsid w:val="72A16B66"/>
    <w:rsid w:val="72BF60CA"/>
    <w:rsid w:val="72EA1DC7"/>
    <w:rsid w:val="72F41282"/>
    <w:rsid w:val="7305742E"/>
    <w:rsid w:val="730E536B"/>
    <w:rsid w:val="733D0D32"/>
    <w:rsid w:val="734F2DAC"/>
    <w:rsid w:val="735E03B7"/>
    <w:rsid w:val="73694985"/>
    <w:rsid w:val="73D411F1"/>
    <w:rsid w:val="73E956E9"/>
    <w:rsid w:val="744A657B"/>
    <w:rsid w:val="745B4260"/>
    <w:rsid w:val="745F194A"/>
    <w:rsid w:val="74B864F1"/>
    <w:rsid w:val="751C5C95"/>
    <w:rsid w:val="753811DE"/>
    <w:rsid w:val="75411FCE"/>
    <w:rsid w:val="75BE67D4"/>
    <w:rsid w:val="75C2004C"/>
    <w:rsid w:val="75C759C1"/>
    <w:rsid w:val="75D73BB3"/>
    <w:rsid w:val="762D64F3"/>
    <w:rsid w:val="76525AB6"/>
    <w:rsid w:val="765E69FD"/>
    <w:rsid w:val="76777BDB"/>
    <w:rsid w:val="767E7EFF"/>
    <w:rsid w:val="76BA5061"/>
    <w:rsid w:val="76C57169"/>
    <w:rsid w:val="77071801"/>
    <w:rsid w:val="770C675C"/>
    <w:rsid w:val="7721184D"/>
    <w:rsid w:val="775B4604"/>
    <w:rsid w:val="77C067C3"/>
    <w:rsid w:val="77C410F0"/>
    <w:rsid w:val="77DB19DB"/>
    <w:rsid w:val="780479BF"/>
    <w:rsid w:val="78355901"/>
    <w:rsid w:val="78410408"/>
    <w:rsid w:val="786916EC"/>
    <w:rsid w:val="78911E31"/>
    <w:rsid w:val="78C37D67"/>
    <w:rsid w:val="78FD3982"/>
    <w:rsid w:val="790077DB"/>
    <w:rsid w:val="79092F5A"/>
    <w:rsid w:val="7922350F"/>
    <w:rsid w:val="792B5470"/>
    <w:rsid w:val="79330173"/>
    <w:rsid w:val="79392FF8"/>
    <w:rsid w:val="793C1CA1"/>
    <w:rsid w:val="79673C53"/>
    <w:rsid w:val="79A54E28"/>
    <w:rsid w:val="79B52847"/>
    <w:rsid w:val="79C86116"/>
    <w:rsid w:val="79E059EE"/>
    <w:rsid w:val="7A0472D6"/>
    <w:rsid w:val="7A0A4313"/>
    <w:rsid w:val="7A322B18"/>
    <w:rsid w:val="7A6F565F"/>
    <w:rsid w:val="7A8511B0"/>
    <w:rsid w:val="7A9367CB"/>
    <w:rsid w:val="7ABD0B81"/>
    <w:rsid w:val="7ADB3E53"/>
    <w:rsid w:val="7AF22571"/>
    <w:rsid w:val="7B3200EF"/>
    <w:rsid w:val="7B322612"/>
    <w:rsid w:val="7B69224B"/>
    <w:rsid w:val="7BAB49EA"/>
    <w:rsid w:val="7BB0419E"/>
    <w:rsid w:val="7BB15B0B"/>
    <w:rsid w:val="7BC83F54"/>
    <w:rsid w:val="7BD478BA"/>
    <w:rsid w:val="7BD73CF3"/>
    <w:rsid w:val="7BE066B9"/>
    <w:rsid w:val="7BE80F25"/>
    <w:rsid w:val="7BFB389D"/>
    <w:rsid w:val="7C162328"/>
    <w:rsid w:val="7C1C35A7"/>
    <w:rsid w:val="7C45431D"/>
    <w:rsid w:val="7C637679"/>
    <w:rsid w:val="7C857210"/>
    <w:rsid w:val="7CDA3ECE"/>
    <w:rsid w:val="7CFE7FD2"/>
    <w:rsid w:val="7D020A44"/>
    <w:rsid w:val="7D0409D3"/>
    <w:rsid w:val="7D3219D5"/>
    <w:rsid w:val="7D422F54"/>
    <w:rsid w:val="7D667A27"/>
    <w:rsid w:val="7D973589"/>
    <w:rsid w:val="7DAC2770"/>
    <w:rsid w:val="7DDD0501"/>
    <w:rsid w:val="7DE51372"/>
    <w:rsid w:val="7DEE257E"/>
    <w:rsid w:val="7E1F6540"/>
    <w:rsid w:val="7E46577D"/>
    <w:rsid w:val="7E5E590F"/>
    <w:rsid w:val="7E74108A"/>
    <w:rsid w:val="7E935AFB"/>
    <w:rsid w:val="7EA10BB3"/>
    <w:rsid w:val="7EA15F79"/>
    <w:rsid w:val="7EC92E26"/>
    <w:rsid w:val="7ED172B5"/>
    <w:rsid w:val="7F5C33A2"/>
    <w:rsid w:val="7F784D34"/>
    <w:rsid w:val="7FBE551A"/>
    <w:rsid w:val="7FC90A85"/>
    <w:rsid w:val="7FD02878"/>
    <w:rsid w:val="7FDF14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unhideWhenUsed/>
    <w:qFormat/>
    <w:uiPriority w:val="35"/>
    <w:rPr>
      <w:rFonts w:ascii="Cambria" w:hAnsi="Cambria" w:eastAsia="黑体"/>
      <w:szCs w:val="20"/>
    </w:rPr>
  </w:style>
  <w:style w:type="paragraph" w:styleId="8">
    <w:name w:val="Document Map"/>
    <w:basedOn w:val="1"/>
    <w:link w:val="30"/>
    <w:semiHidden/>
    <w:unhideWhenUsed/>
    <w:qFormat/>
    <w:uiPriority w:val="99"/>
    <w:rPr>
      <w:rFonts w:ascii="宋体" w:eastAsia="宋体"/>
      <w:sz w:val="18"/>
      <w:szCs w:val="18"/>
    </w:rPr>
  </w:style>
  <w:style w:type="paragraph" w:styleId="9">
    <w:name w:val="annotation text"/>
    <w:basedOn w:val="1"/>
    <w:unhideWhenUsed/>
    <w:qFormat/>
    <w:uiPriority w:val="0"/>
    <w:pPr>
      <w:jc w:val="left"/>
    </w:pPr>
  </w:style>
  <w:style w:type="paragraph" w:styleId="10">
    <w:name w:val="Body Text"/>
    <w:basedOn w:val="1"/>
    <w:link w:val="24"/>
    <w:qFormat/>
    <w:uiPriority w:val="0"/>
    <w:pPr>
      <w:spacing w:after="120"/>
      <w:jc w:val="both"/>
    </w:pPr>
    <w:rPr>
      <w:rFonts w:eastAsia="MS Mincho"/>
      <w:lang w:val="zh-CN"/>
    </w:rPr>
  </w:style>
  <w:style w:type="paragraph" w:styleId="11">
    <w:name w:val="List 2"/>
    <w:basedOn w:val="12"/>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2">
    <w:name w:val="List"/>
    <w:basedOn w:val="1"/>
    <w:semiHidden/>
    <w:unhideWhenUsed/>
    <w:qFormat/>
    <w:uiPriority w:val="99"/>
    <w:pPr>
      <w:ind w:left="200" w:hanging="200" w:hangingChars="200"/>
      <w:contextualSpacing/>
    </w:pPr>
  </w:style>
  <w:style w:type="paragraph" w:styleId="13">
    <w:name w:val="Date"/>
    <w:basedOn w:val="1"/>
    <w:next w:val="1"/>
    <w:link w:val="47"/>
    <w:semiHidden/>
    <w:unhideWhenUsed/>
    <w:qFormat/>
    <w:uiPriority w:val="99"/>
    <w:pPr>
      <w:ind w:left="100" w:leftChars="2500"/>
    </w:pPr>
  </w:style>
  <w:style w:type="paragraph" w:styleId="14">
    <w:name w:val="Balloon Text"/>
    <w:basedOn w:val="1"/>
    <w:link w:val="28"/>
    <w:semiHidden/>
    <w:unhideWhenUsed/>
    <w:qFormat/>
    <w:uiPriority w:val="99"/>
    <w:rPr>
      <w:sz w:val="18"/>
      <w:szCs w:val="18"/>
      <w:lang w:val="zh-CN"/>
    </w:rPr>
  </w:style>
  <w:style w:type="paragraph" w:styleId="15">
    <w:name w:val="footer"/>
    <w:basedOn w:val="1"/>
    <w:link w:val="27"/>
    <w:unhideWhenUsed/>
    <w:qFormat/>
    <w:uiPriority w:val="99"/>
    <w:pPr>
      <w:tabs>
        <w:tab w:val="center" w:pos="4153"/>
        <w:tab w:val="right" w:pos="8306"/>
      </w:tabs>
      <w:snapToGrid w:val="0"/>
    </w:pPr>
    <w:rPr>
      <w:sz w:val="18"/>
      <w:szCs w:val="18"/>
      <w:lang w:val="zh-CN"/>
    </w:rPr>
  </w:style>
  <w:style w:type="paragraph" w:styleId="16">
    <w:name w:val="header"/>
    <w:basedOn w:val="1"/>
    <w:link w:val="25"/>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10"/>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6"/>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5"/>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4"/>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8"/>
    <w:semiHidden/>
    <w:qFormat/>
    <w:uiPriority w:val="99"/>
    <w:rPr>
      <w:rFonts w:ascii="宋体" w:hAnsi="Times New Roman"/>
      <w:sz w:val="18"/>
      <w:szCs w:val="18"/>
      <w:lang w:eastAsia="en-US"/>
    </w:rPr>
  </w:style>
  <w:style w:type="paragraph" w:customStyle="1" w:styleId="31">
    <w:name w:val="B1"/>
    <w:basedOn w:val="12"/>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7"/>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3"/>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20"/>
    <w:qFormat/>
    <w:uiPriority w:val="0"/>
  </w:style>
  <w:style w:type="character" w:customStyle="1" w:styleId="55">
    <w:name w:val="eop"/>
    <w:basedOn w:val="20"/>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3</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2023-08-11T13:19:01Z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